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Rúbrica de Evaluación: Role Play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Criterio de Evaluación</w:t>
            </w:r>
          </w:p>
        </w:tc>
        <w:tc>
          <w:tcPr>
            <w:tcW w:type="dxa" w:w="1440"/>
          </w:tcPr>
          <w:p>
            <w:r>
              <w:t>Nivel 4 (Excelente)</w:t>
            </w:r>
          </w:p>
        </w:tc>
        <w:tc>
          <w:tcPr>
            <w:tcW w:type="dxa" w:w="1440"/>
          </w:tcPr>
          <w:p>
            <w:r>
              <w:t>Nivel 3 (Bueno)</w:t>
            </w:r>
          </w:p>
        </w:tc>
        <w:tc>
          <w:tcPr>
            <w:tcW w:type="dxa" w:w="1440"/>
          </w:tcPr>
          <w:p>
            <w:r>
              <w:t>Nivel 2 (Aceptable)</w:t>
            </w:r>
          </w:p>
        </w:tc>
        <w:tc>
          <w:tcPr>
            <w:tcW w:type="dxa" w:w="1440"/>
          </w:tcPr>
          <w:p>
            <w:r>
              <w:t>Nivel 1 (Insuficiente)</w:t>
            </w:r>
          </w:p>
        </w:tc>
        <w:tc>
          <w:tcPr>
            <w:tcW w:type="dxa" w:w="1440"/>
          </w:tcPr>
          <w:p>
            <w:r>
              <w:t>Peso</w:t>
            </w:r>
          </w:p>
        </w:tc>
      </w:tr>
      <w:tr>
        <w:tc>
          <w:tcPr>
            <w:tcW w:type="dxa" w:w="1440"/>
          </w:tcPr>
          <w:p>
            <w:r>
              <w:t>Comunicación asertiva y claridad</w:t>
            </w:r>
          </w:p>
        </w:tc>
        <w:tc>
          <w:tcPr>
            <w:tcW w:type="dxa" w:w="1440"/>
          </w:tcPr>
          <w:p>
            <w:r>
              <w:t>Expresa preguntas e indicaciones con lenguaje claro, tono apropiado y escucha activa constante; adapta el discurso al interlocutor sin confusiones.</w:t>
            </w:r>
          </w:p>
        </w:tc>
        <w:tc>
          <w:tcPr>
            <w:tcW w:type="dxa" w:w="1440"/>
          </w:tcPr>
          <w:p>
            <w:r>
              <w:t>Utiliza lenguaje correcto y escucha al paciente, con mínimas imprecisiones en gestos o tono; transmite la mayoría de los mensajes con claridad.</w:t>
            </w:r>
          </w:p>
        </w:tc>
        <w:tc>
          <w:tcPr>
            <w:tcW w:type="dxa" w:w="1440"/>
          </w:tcPr>
          <w:p>
            <w:r>
              <w:t>Mensaje comprensible, pero con vacilaciones o repeticiones que dificultan algo la comprensión; en ocasiones no capta mensajes del otro.</w:t>
            </w:r>
          </w:p>
        </w:tc>
        <w:tc>
          <w:tcPr>
            <w:tcW w:type="dxa" w:w="1440"/>
          </w:tcPr>
          <w:p>
            <w:r>
              <w:t>Uso de lenguaje confuso o inapropiado; no realiza escucha activa; provoca malentendidos en la interacción.</w:t>
            </w:r>
          </w:p>
        </w:tc>
        <w:tc>
          <w:tcPr>
            <w:tcW w:type="dxa" w:w="1440"/>
          </w:tcPr>
          <w:p>
            <w:r>
              <w:t>20 %</w:t>
            </w:r>
          </w:p>
        </w:tc>
      </w:tr>
      <w:tr>
        <w:tc>
          <w:tcPr>
            <w:tcW w:type="dxa" w:w="1440"/>
          </w:tcPr>
          <w:p>
            <w:r>
              <w:t>Identificación de determinantes (biológicos, psicológicos, sociales)</w:t>
            </w:r>
          </w:p>
        </w:tc>
        <w:tc>
          <w:tcPr>
            <w:tcW w:type="dxa" w:w="1440"/>
          </w:tcPr>
          <w:p>
            <w:r>
              <w:t>Detecta y menciona todos los factores relevantes (antecedentes, hábitos, entorno) sin omitir ningún aspecto clave; relaciona causa y efecto de forma precisa.</w:t>
            </w:r>
          </w:p>
        </w:tc>
        <w:tc>
          <w:tcPr>
            <w:tcW w:type="dxa" w:w="1440"/>
          </w:tcPr>
          <w:p>
            <w:r>
              <w:t>Reconoce la mayoría de los determinantes relevantes, aunque omite uno o dos elementos secundarios; establece vínculo general entre factores.</w:t>
            </w:r>
          </w:p>
        </w:tc>
        <w:tc>
          <w:tcPr>
            <w:tcW w:type="dxa" w:w="1440"/>
          </w:tcPr>
          <w:p>
            <w:r>
              <w:t>Identifica algunos determinantes, pero de forma incompleta o superficial; ignora varios factores importantes en el contexto.</w:t>
            </w:r>
          </w:p>
        </w:tc>
        <w:tc>
          <w:tcPr>
            <w:tcW w:type="dxa" w:w="1440"/>
          </w:tcPr>
          <w:p>
            <w:r>
              <w:t>No logra identificar los determinantes relevantes; confunde factores o no considera el contexto biopsicosocial.</w:t>
            </w:r>
          </w:p>
        </w:tc>
        <w:tc>
          <w:tcPr>
            <w:tcW w:type="dxa" w:w="1440"/>
          </w:tcPr>
          <w:p>
            <w:r>
              <w:t>20 %</w:t>
            </w:r>
          </w:p>
        </w:tc>
      </w:tr>
      <w:tr>
        <w:tc>
          <w:tcPr>
            <w:tcW w:type="dxa" w:w="1440"/>
          </w:tcPr>
          <w:p>
            <w:r>
              <w:t>Empatía y manejo de objeciones</w:t>
            </w:r>
          </w:p>
        </w:tc>
        <w:tc>
          <w:tcPr>
            <w:tcW w:type="dxa" w:w="1440"/>
          </w:tcPr>
          <w:p>
            <w:r>
              <w:t>Muestra plena empatía: valida emociones, establece confianza y maneja objeciones con argumentos solidarios; genera vínculo positivo y respeta creencias.</w:t>
            </w:r>
          </w:p>
        </w:tc>
        <w:tc>
          <w:tcPr>
            <w:tcW w:type="dxa" w:w="1440"/>
          </w:tcPr>
          <w:p>
            <w:r>
              <w:t>Demuestra empatía en la mayoría de la interacción, aunque en ocasiones responde de forma más técnica; gestiona objeciones con apoyo adecuado.</w:t>
            </w:r>
          </w:p>
        </w:tc>
        <w:tc>
          <w:tcPr>
            <w:tcW w:type="dxa" w:w="1440"/>
          </w:tcPr>
          <w:p>
            <w:r>
              <w:t>Reconoce emociones del otro, pero su respuesta es limitada o mecánica; enfrenta dificultades para manejar objeciones sin perder la calma.</w:t>
            </w:r>
          </w:p>
        </w:tc>
        <w:tc>
          <w:tcPr>
            <w:tcW w:type="dxa" w:w="1440"/>
          </w:tcPr>
          <w:p>
            <w:r>
              <w:t>Falta de empatía evidente; ignora o invalida emociones y objeciones; genera tensión o rechazo en la otra persona.</w:t>
            </w:r>
          </w:p>
        </w:tc>
        <w:tc>
          <w:tcPr>
            <w:tcW w:type="dxa" w:w="1440"/>
          </w:tcPr>
          <w:p>
            <w:r>
              <w:t>20 %</w:t>
            </w:r>
          </w:p>
        </w:tc>
      </w:tr>
      <w:tr>
        <w:tc>
          <w:tcPr>
            <w:tcW w:type="dxa" w:w="1440"/>
          </w:tcPr>
          <w:p>
            <w:r>
              <w:t>Aplicación del enfoque biopsicosocial</w:t>
            </w:r>
          </w:p>
        </w:tc>
        <w:tc>
          <w:tcPr>
            <w:tcW w:type="dxa" w:w="1440"/>
          </w:tcPr>
          <w:p>
            <w:r>
              <w:t>Integra con fluidez los aspectos biológicos, psicológicos y sociales en cada momento del diálogo, proponiendo intervenciones coherentes a cada dimensión.</w:t>
            </w:r>
          </w:p>
        </w:tc>
        <w:tc>
          <w:tcPr>
            <w:tcW w:type="dxa" w:w="1440"/>
          </w:tcPr>
          <w:p>
            <w:r>
              <w:t>Integra la mayoría de las dimensiones biopsicosociales, pero con menor profundidad en uno de los planos; propuestas de intervención generales.</w:t>
            </w:r>
          </w:p>
        </w:tc>
        <w:tc>
          <w:tcPr>
            <w:tcW w:type="dxa" w:w="1440"/>
          </w:tcPr>
          <w:p>
            <w:r>
              <w:t>Identifica al menos un plano biopsicosocial, pero no logra conectar todos los elementos; intervenciones poco articuladas entre sí.</w:t>
            </w:r>
          </w:p>
        </w:tc>
        <w:tc>
          <w:tcPr>
            <w:tcW w:type="dxa" w:w="1440"/>
          </w:tcPr>
          <w:p>
            <w:r>
              <w:t>Omite o confunde dimensiones biopsicosociales; propone intervenciones centradas en un solo aspecto sin considerar el contexto global.</w:t>
            </w:r>
          </w:p>
        </w:tc>
        <w:tc>
          <w:tcPr>
            <w:tcW w:type="dxa" w:w="1440"/>
          </w:tcPr>
          <w:p>
            <w:r>
              <w:t>25 %</w:t>
            </w:r>
          </w:p>
        </w:tc>
      </w:tr>
      <w:tr>
        <w:tc>
          <w:tcPr>
            <w:tcW w:type="dxa" w:w="1440"/>
          </w:tcPr>
          <w:p>
            <w:r>
              <w:t>Cierre y compromiso</w:t>
            </w:r>
          </w:p>
        </w:tc>
        <w:tc>
          <w:tcPr>
            <w:tcW w:type="dxa" w:w="1440"/>
          </w:tcPr>
          <w:p>
            <w:r>
              <w:t>Finaliza con criterio: resume los acuerdos, establece próximos pasos claros y obtiene un compromiso concreto (aunque simulado) del paciente o interlocutor.</w:t>
            </w:r>
          </w:p>
        </w:tc>
        <w:tc>
          <w:tcPr>
            <w:tcW w:type="dxa" w:w="1440"/>
          </w:tcPr>
          <w:p>
            <w:r>
              <w:t>Resume los puntos principales y sugiere pasos a seguir, pero el compromiso queda menos explícito o condicionado a factores externos.</w:t>
            </w:r>
          </w:p>
        </w:tc>
        <w:tc>
          <w:tcPr>
            <w:tcW w:type="dxa" w:w="1440"/>
          </w:tcPr>
          <w:p>
            <w:r>
              <w:t>Cierre superficial: menciona recomendaciones, sin concretar quién hará qué ni cuándo; el compromiso es vago o poco realista.</w:t>
            </w:r>
          </w:p>
        </w:tc>
        <w:tc>
          <w:tcPr>
            <w:tcW w:type="dxa" w:w="1440"/>
          </w:tcPr>
          <w:p>
            <w:r>
              <w:t>No hay cierre claro; no se especifican próximos pasos ni se logra un compromiso realista por parte del paciente o interlocutor.</w:t>
            </w:r>
          </w:p>
        </w:tc>
        <w:tc>
          <w:tcPr>
            <w:tcW w:type="dxa" w:w="1440"/>
          </w:tcPr>
          <w:p>
            <w:r>
              <w:t>15 %</w:t>
            </w:r>
          </w:p>
        </w:tc>
      </w:tr>
    </w:tbl>
    <w:p>
      <w:pPr>
        <w:pStyle w:val="Heading2"/>
      </w:pPr>
      <w:r>
        <w:t>Instrucciones para la evaluación</w:t>
      </w:r>
    </w:p>
    <w:p>
      <w:r>
        <w:t>1. Cada criterio se puntúa de 1 a 4 según el nivel alcanzado.</w:t>
        <w:br/>
        <w:t>2. Multiplicar la puntuación obtenida por el porcentaje de peso correspondiente.</w:t>
        <w:br/>
        <w:t>3. Sumar las puntuaciones ponderadas para obtener la nota final sobre 10.</w:t>
        <w:br/>
        <w:br/>
        <w:t>Ejemplo: Si se obtiene nivel 3 en un criterio de 20 %, la puntuación parcial es 3 x 0.20 = 0.60.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EF4B0-0F0D-435D-A984-9A10F6BE9705}"/>
</file>

<file path=customXml/itemProps3.xml><?xml version="1.0" encoding="utf-8"?>
<ds:datastoreItem xmlns:ds="http://schemas.openxmlformats.org/officeDocument/2006/customXml" ds:itemID="{2FDB9076-F012-45E1-9D99-2649D30E0738}"/>
</file>

<file path=customXml/itemProps4.xml><?xml version="1.0" encoding="utf-8"?>
<ds:datastoreItem xmlns:ds="http://schemas.openxmlformats.org/officeDocument/2006/customXml" ds:itemID="{CDE0D774-EA0C-49D1-BBB0-EDBC8D855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