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D44B" w14:textId="6975009C" w:rsidR="0046126C" w:rsidRPr="0046126C" w:rsidRDefault="0046126C" w:rsidP="00461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46126C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Farmacología del sistema respiratorio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852"/>
        <w:gridCol w:w="1879"/>
        <w:gridCol w:w="1916"/>
        <w:gridCol w:w="1794"/>
        <w:gridCol w:w="2364"/>
        <w:gridCol w:w="2162"/>
      </w:tblGrid>
      <w:tr w:rsidR="00766BA2" w:rsidRPr="0046126C" w14:paraId="1ECF965C" w14:textId="77777777" w:rsidTr="004612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5F33AA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Grupo</w:t>
            </w:r>
          </w:p>
        </w:tc>
        <w:tc>
          <w:tcPr>
            <w:tcW w:w="0" w:type="auto"/>
            <w:vAlign w:val="center"/>
            <w:hideMark/>
          </w:tcPr>
          <w:p w14:paraId="7F4DC23E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Mecanismo de Acción</w:t>
            </w:r>
          </w:p>
        </w:tc>
        <w:tc>
          <w:tcPr>
            <w:tcW w:w="0" w:type="auto"/>
            <w:vAlign w:val="center"/>
            <w:hideMark/>
          </w:tcPr>
          <w:p w14:paraId="6521BB48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Clasificación</w:t>
            </w:r>
          </w:p>
        </w:tc>
        <w:tc>
          <w:tcPr>
            <w:tcW w:w="0" w:type="auto"/>
            <w:vAlign w:val="center"/>
            <w:hideMark/>
          </w:tcPr>
          <w:p w14:paraId="5A1AB59C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Medicamentos</w:t>
            </w:r>
          </w:p>
        </w:tc>
        <w:tc>
          <w:tcPr>
            <w:tcW w:w="0" w:type="auto"/>
            <w:vAlign w:val="center"/>
            <w:hideMark/>
          </w:tcPr>
          <w:p w14:paraId="4DB6168F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Efectos Adversos</w:t>
            </w:r>
          </w:p>
        </w:tc>
        <w:tc>
          <w:tcPr>
            <w:tcW w:w="0" w:type="auto"/>
            <w:vAlign w:val="center"/>
            <w:hideMark/>
          </w:tcPr>
          <w:p w14:paraId="5D8C5393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Interacciones</w:t>
            </w:r>
          </w:p>
        </w:tc>
        <w:tc>
          <w:tcPr>
            <w:tcW w:w="0" w:type="auto"/>
            <w:vAlign w:val="center"/>
            <w:hideMark/>
          </w:tcPr>
          <w:p w14:paraId="6B6F1042" w14:textId="77777777" w:rsidR="0046126C" w:rsidRPr="0046126C" w:rsidRDefault="0046126C" w:rsidP="0046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Cuidados de Enfermería</w:t>
            </w:r>
          </w:p>
        </w:tc>
      </w:tr>
      <w:tr w:rsidR="00766BA2" w:rsidRPr="0046126C" w14:paraId="1D98B8A2" w14:textId="77777777" w:rsidTr="004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80DEF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Broncodilatadores</w:t>
            </w:r>
          </w:p>
        </w:tc>
        <w:tc>
          <w:tcPr>
            <w:tcW w:w="0" w:type="auto"/>
            <w:vAlign w:val="center"/>
            <w:hideMark/>
          </w:tcPr>
          <w:p w14:paraId="41CB3A61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Relajan el músculo liso de las vías aéreas, aumentando el diámetro de los bronquios</w:t>
            </w:r>
          </w:p>
        </w:tc>
        <w:tc>
          <w:tcPr>
            <w:tcW w:w="0" w:type="auto"/>
            <w:vAlign w:val="center"/>
            <w:hideMark/>
          </w:tcPr>
          <w:p w14:paraId="2C8B69B1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Agonistas β2, Anticolinérgicos, Xantinas</w:t>
            </w:r>
          </w:p>
        </w:tc>
        <w:tc>
          <w:tcPr>
            <w:tcW w:w="0" w:type="auto"/>
            <w:vAlign w:val="center"/>
            <w:hideMark/>
          </w:tcPr>
          <w:p w14:paraId="7B626597" w14:textId="209ADC1D" w:rsidR="00766BA2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Salbutamol, Ipratropio, </w:t>
            </w:r>
            <w:r w:rsidR="00766BA2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Aminofilina (se transforma en Teofilina una vez administrada)</w:t>
            </w:r>
          </w:p>
        </w:tc>
        <w:tc>
          <w:tcPr>
            <w:tcW w:w="0" w:type="auto"/>
            <w:vAlign w:val="center"/>
            <w:hideMark/>
          </w:tcPr>
          <w:p w14:paraId="08E05E33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Taquicardia, nerviosismo, arritmias, temblores</w:t>
            </w:r>
          </w:p>
        </w:tc>
        <w:tc>
          <w:tcPr>
            <w:tcW w:w="0" w:type="auto"/>
            <w:vAlign w:val="center"/>
            <w:hideMark/>
          </w:tcPr>
          <w:p w14:paraId="228A863F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Interacción con β-bloqueadores, aumenta efectos de otros simpaticomiméticos</w:t>
            </w:r>
          </w:p>
        </w:tc>
        <w:tc>
          <w:tcPr>
            <w:tcW w:w="0" w:type="auto"/>
            <w:vAlign w:val="center"/>
            <w:hideMark/>
          </w:tcPr>
          <w:p w14:paraId="374CEFCF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Monitorear FC, valorar frecuencia respiratoria y patrón, educación sobre uso adecuado de inhaladores</w:t>
            </w:r>
          </w:p>
        </w:tc>
      </w:tr>
      <w:tr w:rsidR="00766BA2" w:rsidRPr="0046126C" w14:paraId="5CB42AEC" w14:textId="77777777" w:rsidTr="004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FEFEE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Mucolíticos</w:t>
            </w:r>
          </w:p>
        </w:tc>
        <w:tc>
          <w:tcPr>
            <w:tcW w:w="0" w:type="auto"/>
            <w:vAlign w:val="center"/>
            <w:hideMark/>
          </w:tcPr>
          <w:p w14:paraId="3DD41F1B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Rompen enlaces disulfuro en el moco, disminuyendo su viscosidad</w:t>
            </w:r>
          </w:p>
        </w:tc>
        <w:tc>
          <w:tcPr>
            <w:tcW w:w="0" w:type="auto"/>
            <w:vAlign w:val="center"/>
            <w:hideMark/>
          </w:tcPr>
          <w:p w14:paraId="0DBA17A4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Agentes que alteran las secreciones</w:t>
            </w:r>
          </w:p>
        </w:tc>
        <w:tc>
          <w:tcPr>
            <w:tcW w:w="0" w:type="auto"/>
            <w:vAlign w:val="center"/>
            <w:hideMark/>
          </w:tcPr>
          <w:p w14:paraId="3729B756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Acetilcisteína, Bromhexina</w:t>
            </w:r>
          </w:p>
        </w:tc>
        <w:tc>
          <w:tcPr>
            <w:tcW w:w="0" w:type="auto"/>
            <w:vAlign w:val="center"/>
            <w:hideMark/>
          </w:tcPr>
          <w:p w14:paraId="566B2007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Náuseas, vómitos, broncoespasmo</w:t>
            </w:r>
          </w:p>
        </w:tc>
        <w:tc>
          <w:tcPr>
            <w:tcW w:w="0" w:type="auto"/>
            <w:vAlign w:val="center"/>
            <w:hideMark/>
          </w:tcPr>
          <w:p w14:paraId="66B898D0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Potencial antagonismo con algunos antibióticos (por ej. tetraciclinas)</w:t>
            </w:r>
          </w:p>
        </w:tc>
        <w:tc>
          <w:tcPr>
            <w:tcW w:w="0" w:type="auto"/>
            <w:vAlign w:val="center"/>
            <w:hideMark/>
          </w:tcPr>
          <w:p w14:paraId="52CB4F75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Vigilar la respuesta respiratoria, indicar al paciente la importancia de una correcta hidratación para mejorar la eficacia</w:t>
            </w:r>
          </w:p>
        </w:tc>
      </w:tr>
      <w:tr w:rsidR="00766BA2" w:rsidRPr="0046126C" w14:paraId="2968F68B" w14:textId="77777777" w:rsidTr="004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F7D66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Antiinflamatorios Respiratorios</w:t>
            </w:r>
          </w:p>
        </w:tc>
        <w:tc>
          <w:tcPr>
            <w:tcW w:w="0" w:type="auto"/>
            <w:vAlign w:val="center"/>
            <w:hideMark/>
          </w:tcPr>
          <w:p w14:paraId="46DA677A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Reducen la inflamación de las vías respiratorias y disminuyen la producción de mediadores inflamatorios</w:t>
            </w:r>
          </w:p>
        </w:tc>
        <w:tc>
          <w:tcPr>
            <w:tcW w:w="0" w:type="auto"/>
            <w:vAlign w:val="center"/>
            <w:hideMark/>
          </w:tcPr>
          <w:p w14:paraId="43C0A0B7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Corticoides, Inhibidores de leucotrienos</w:t>
            </w:r>
          </w:p>
        </w:tc>
        <w:tc>
          <w:tcPr>
            <w:tcW w:w="0" w:type="auto"/>
            <w:vAlign w:val="center"/>
            <w:hideMark/>
          </w:tcPr>
          <w:p w14:paraId="4FE26DD0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Budesonida</w:t>
            </w:r>
            <w:proofErr w:type="spellEnd"/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Montelukast</w:t>
            </w:r>
          </w:p>
        </w:tc>
        <w:tc>
          <w:tcPr>
            <w:tcW w:w="0" w:type="auto"/>
            <w:vAlign w:val="center"/>
            <w:hideMark/>
          </w:tcPr>
          <w:p w14:paraId="3C9B9C87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Candidiasis oral, tos, disfonía, cefalea</w:t>
            </w:r>
          </w:p>
        </w:tc>
        <w:tc>
          <w:tcPr>
            <w:tcW w:w="0" w:type="auto"/>
            <w:vAlign w:val="center"/>
            <w:hideMark/>
          </w:tcPr>
          <w:p w14:paraId="38D0CA53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Aumento del riesgo de infecciones con inmunosupresores, disminución del efecto con rifampicina</w:t>
            </w:r>
          </w:p>
        </w:tc>
        <w:tc>
          <w:tcPr>
            <w:tcW w:w="0" w:type="auto"/>
            <w:vAlign w:val="center"/>
            <w:hideMark/>
          </w:tcPr>
          <w:p w14:paraId="3CEE9F7B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Instruir sobre el enjuague bucal tras el uso de corticoides inhalados, monitorización del crecimiento en niños (para uso prolongado de corticoides)</w:t>
            </w:r>
          </w:p>
        </w:tc>
      </w:tr>
      <w:tr w:rsidR="00766BA2" w:rsidRPr="0046126C" w14:paraId="296AC255" w14:textId="77777777" w:rsidTr="004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70990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Antihistamínicos</w:t>
            </w:r>
          </w:p>
        </w:tc>
        <w:tc>
          <w:tcPr>
            <w:tcW w:w="0" w:type="auto"/>
            <w:vAlign w:val="center"/>
            <w:hideMark/>
          </w:tcPr>
          <w:p w14:paraId="00C6B5B4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Bloquean los receptores H1, inhibiendo los efectos de la </w:t>
            </w: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histamina en las vías aéreas</w:t>
            </w:r>
          </w:p>
        </w:tc>
        <w:tc>
          <w:tcPr>
            <w:tcW w:w="0" w:type="auto"/>
            <w:vAlign w:val="center"/>
            <w:hideMark/>
          </w:tcPr>
          <w:p w14:paraId="62356C71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Antihistamínicos de primera y segunda generación</w:t>
            </w:r>
          </w:p>
        </w:tc>
        <w:tc>
          <w:tcPr>
            <w:tcW w:w="0" w:type="auto"/>
            <w:vAlign w:val="center"/>
            <w:hideMark/>
          </w:tcPr>
          <w:p w14:paraId="368E11C8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Loratadina, Difenhidramina</w:t>
            </w:r>
          </w:p>
        </w:tc>
        <w:tc>
          <w:tcPr>
            <w:tcW w:w="0" w:type="auto"/>
            <w:vAlign w:val="center"/>
            <w:hideMark/>
          </w:tcPr>
          <w:p w14:paraId="034CE5B9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Somnolencia, sequedad de boca, retención </w:t>
            </w: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urinaria, visión borrosa</w:t>
            </w:r>
          </w:p>
        </w:tc>
        <w:tc>
          <w:tcPr>
            <w:tcW w:w="0" w:type="auto"/>
            <w:vAlign w:val="center"/>
            <w:hideMark/>
          </w:tcPr>
          <w:p w14:paraId="3815A94C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Aumento de somnolencia con depresores del SNC </w:t>
            </w: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(alcohol, benzodiazepinas)</w:t>
            </w:r>
          </w:p>
        </w:tc>
        <w:tc>
          <w:tcPr>
            <w:tcW w:w="0" w:type="auto"/>
            <w:vAlign w:val="center"/>
            <w:hideMark/>
          </w:tcPr>
          <w:p w14:paraId="320CA034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 xml:space="preserve">Educar sobre los efectos sedantes, evaluar signos de retención urinaria, </w:t>
            </w: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recomendar evitar la conducción de vehículos si se experimenta somnolencia</w:t>
            </w:r>
          </w:p>
        </w:tc>
      </w:tr>
      <w:tr w:rsidR="00766BA2" w:rsidRPr="0046126C" w14:paraId="56FACF68" w14:textId="77777777" w:rsidTr="004612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E0FBE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lastRenderedPageBreak/>
              <w:t>Surfactante Pulmonar</w:t>
            </w:r>
          </w:p>
        </w:tc>
        <w:tc>
          <w:tcPr>
            <w:tcW w:w="0" w:type="auto"/>
            <w:vAlign w:val="center"/>
            <w:hideMark/>
          </w:tcPr>
          <w:p w14:paraId="539ED632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Reduce la tensión superficial en los alvéolos, evitando su colapso</w:t>
            </w:r>
          </w:p>
        </w:tc>
        <w:tc>
          <w:tcPr>
            <w:tcW w:w="0" w:type="auto"/>
            <w:vAlign w:val="center"/>
            <w:hideMark/>
          </w:tcPr>
          <w:p w14:paraId="0F8C24D8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Preparados exógenos</w:t>
            </w:r>
          </w:p>
        </w:tc>
        <w:tc>
          <w:tcPr>
            <w:tcW w:w="0" w:type="auto"/>
            <w:vAlign w:val="center"/>
            <w:hideMark/>
          </w:tcPr>
          <w:p w14:paraId="0E6E1C6F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proofErr w:type="spellStart"/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Beractant</w:t>
            </w:r>
            <w:proofErr w:type="spellEnd"/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, </w:t>
            </w:r>
            <w:proofErr w:type="spellStart"/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Poractant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57703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Hipotensión, bradicardia, hipoxia transitoria</w:t>
            </w:r>
          </w:p>
        </w:tc>
        <w:tc>
          <w:tcPr>
            <w:tcW w:w="0" w:type="auto"/>
            <w:vAlign w:val="center"/>
            <w:hideMark/>
          </w:tcPr>
          <w:p w14:paraId="50F379C4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No se han reportado interacciones farmacológicas significativas</w:t>
            </w:r>
          </w:p>
        </w:tc>
        <w:tc>
          <w:tcPr>
            <w:tcW w:w="0" w:type="auto"/>
            <w:vAlign w:val="center"/>
            <w:hideMark/>
          </w:tcPr>
          <w:p w14:paraId="27933F94" w14:textId="77777777" w:rsidR="0046126C" w:rsidRPr="0046126C" w:rsidRDefault="0046126C" w:rsidP="0046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6126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Administrar bajo monitorización en UCI neonatal, vigilar constantes vitales, preparación previa y manejo aséptico durante la administración</w:t>
            </w:r>
          </w:p>
        </w:tc>
      </w:tr>
    </w:tbl>
    <w:p w14:paraId="6EF39CEC" w14:textId="1D13A300" w:rsidR="0046126C" w:rsidRPr="0046126C" w:rsidRDefault="0046126C" w:rsidP="0046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66FF7E2E" w14:textId="77777777" w:rsidR="00265D69" w:rsidRDefault="00265D69"/>
    <w:sectPr w:rsidR="00265D69" w:rsidSect="004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6C"/>
    <w:rsid w:val="00143FE4"/>
    <w:rsid w:val="00265D69"/>
    <w:rsid w:val="0046126C"/>
    <w:rsid w:val="007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A39E3"/>
  <w15:chartTrackingRefBased/>
  <w15:docId w15:val="{186B1751-67CD-4BE3-B450-190F3F2B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61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2021</Characters>
  <Application>Microsoft Office Word</Application>
  <DocSecurity>0</DocSecurity>
  <Lines>168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Alexandra Valdiviezo Maygua</dc:creator>
  <cp:keywords/>
  <dc:description/>
  <cp:lastModifiedBy>Monica Alexandra Valdiviezo Maygua</cp:lastModifiedBy>
  <cp:revision>3</cp:revision>
  <dcterms:created xsi:type="dcterms:W3CDTF">2024-10-07T11:13:00Z</dcterms:created>
  <dcterms:modified xsi:type="dcterms:W3CDTF">2024-10-16T06:22:00Z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02902d39-21c7-407c-b05e-a8c75afca6f2</vt:lpwstr>
  </property>
</Properties>
</file>