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F18A8" w14:textId="3E030AFE" w:rsidR="00B857D8" w:rsidRPr="00840054" w:rsidRDefault="00B857D8" w:rsidP="00840054">
      <w:pPr>
        <w:spacing w:line="240" w:lineRule="auto"/>
        <w:ind w:firstLine="0"/>
        <w:jc w:val="center"/>
        <w:rPr>
          <w:rFonts w:ascii="Arial" w:hAnsi="Arial" w:cs="Arial"/>
          <w:b/>
          <w:bCs/>
          <w:szCs w:val="24"/>
          <w:lang w:val="es-ES"/>
        </w:rPr>
      </w:pPr>
      <w:r w:rsidRPr="00840054">
        <w:rPr>
          <w:rFonts w:ascii="Arial" w:hAnsi="Arial" w:cs="Arial"/>
          <w:b/>
          <w:bCs/>
          <w:szCs w:val="24"/>
          <w:lang w:val="es-ES"/>
        </w:rPr>
        <w:t xml:space="preserve">Índice de confianza </w:t>
      </w:r>
      <w:r w:rsidR="00451DBA" w:rsidRPr="00840054">
        <w:rPr>
          <w:rFonts w:ascii="Arial" w:hAnsi="Arial" w:cs="Arial"/>
          <w:b/>
          <w:bCs/>
          <w:szCs w:val="24"/>
          <w:lang w:val="es-ES"/>
        </w:rPr>
        <w:t>del</w:t>
      </w:r>
      <w:r w:rsidRPr="00840054">
        <w:rPr>
          <w:rFonts w:ascii="Arial" w:hAnsi="Arial" w:cs="Arial"/>
          <w:b/>
          <w:bCs/>
          <w:szCs w:val="24"/>
          <w:lang w:val="es-ES"/>
        </w:rPr>
        <w:t xml:space="preserve"> consumidor de la</w:t>
      </w:r>
      <w:r w:rsidR="00451DBA" w:rsidRPr="00840054">
        <w:rPr>
          <w:rFonts w:ascii="Arial" w:hAnsi="Arial" w:cs="Arial"/>
          <w:b/>
          <w:bCs/>
          <w:szCs w:val="24"/>
          <w:lang w:val="es-ES"/>
        </w:rPr>
        <w:t>s</w:t>
      </w:r>
      <w:r w:rsidR="00B82160" w:rsidRPr="00840054">
        <w:rPr>
          <w:rFonts w:ascii="Arial" w:hAnsi="Arial" w:cs="Arial"/>
          <w:b/>
          <w:bCs/>
          <w:szCs w:val="24"/>
          <w:lang w:val="es-ES"/>
        </w:rPr>
        <w:t xml:space="preserve"> ciudad</w:t>
      </w:r>
      <w:r w:rsidR="00451DBA" w:rsidRPr="00840054">
        <w:rPr>
          <w:rFonts w:ascii="Arial" w:hAnsi="Arial" w:cs="Arial"/>
          <w:b/>
          <w:bCs/>
          <w:szCs w:val="24"/>
          <w:lang w:val="es-ES"/>
        </w:rPr>
        <w:t>es</w:t>
      </w:r>
      <w:r w:rsidR="00B82160" w:rsidRPr="00840054">
        <w:rPr>
          <w:rFonts w:ascii="Arial" w:hAnsi="Arial" w:cs="Arial"/>
          <w:b/>
          <w:bCs/>
          <w:szCs w:val="24"/>
          <w:lang w:val="es-ES"/>
        </w:rPr>
        <w:t xml:space="preserve"> de</w:t>
      </w:r>
      <w:r w:rsidRPr="00840054">
        <w:rPr>
          <w:rFonts w:ascii="Arial" w:hAnsi="Arial" w:cs="Arial"/>
          <w:b/>
          <w:bCs/>
          <w:szCs w:val="24"/>
          <w:lang w:val="es-ES"/>
        </w:rPr>
        <w:t xml:space="preserve"> </w:t>
      </w:r>
      <w:r w:rsidR="00451DBA" w:rsidRPr="00840054">
        <w:rPr>
          <w:rFonts w:ascii="Arial" w:hAnsi="Arial" w:cs="Arial"/>
          <w:b/>
          <w:bCs/>
          <w:szCs w:val="24"/>
          <w:lang w:val="es-ES"/>
        </w:rPr>
        <w:t xml:space="preserve">Latacunga y </w:t>
      </w:r>
      <w:r w:rsidRPr="00840054">
        <w:rPr>
          <w:rFonts w:ascii="Arial" w:hAnsi="Arial" w:cs="Arial"/>
          <w:b/>
          <w:bCs/>
          <w:szCs w:val="24"/>
          <w:lang w:val="es-ES"/>
        </w:rPr>
        <w:t>Riobamba</w:t>
      </w:r>
    </w:p>
    <w:p w14:paraId="6762EE89" w14:textId="362B6579" w:rsidR="00D87F9F" w:rsidRPr="00840054" w:rsidRDefault="008021A0" w:rsidP="00B857D8">
      <w:pPr>
        <w:spacing w:line="240" w:lineRule="auto"/>
        <w:ind w:firstLine="0"/>
        <w:rPr>
          <w:rFonts w:ascii="Arial" w:hAnsi="Arial" w:cs="Arial"/>
          <w:b/>
          <w:bCs/>
          <w:szCs w:val="24"/>
          <w:lang w:val="es-ES"/>
        </w:rPr>
      </w:pPr>
      <w:r w:rsidRPr="00840054">
        <w:rPr>
          <w:rFonts w:ascii="Arial" w:hAnsi="Arial" w:cs="Arial"/>
          <w:b/>
          <w:bCs/>
          <w:szCs w:val="24"/>
          <w:lang w:val="es-ES"/>
        </w:rPr>
        <w:t>Metodología</w:t>
      </w:r>
    </w:p>
    <w:p w14:paraId="2FF83A74" w14:textId="399C3D7B" w:rsidR="00B857D8" w:rsidRPr="006C6043" w:rsidRDefault="00335B00" w:rsidP="00B857D8">
      <w:pPr>
        <w:tabs>
          <w:tab w:val="left" w:pos="142"/>
        </w:tabs>
        <w:spacing w:before="240" w:line="240" w:lineRule="auto"/>
        <w:ind w:firstLine="0"/>
        <w:rPr>
          <w:rFonts w:ascii="Arial" w:hAnsi="Arial" w:cs="Arial"/>
          <w:sz w:val="22"/>
        </w:rPr>
      </w:pPr>
      <w:r w:rsidRPr="006C6043">
        <w:rPr>
          <w:rFonts w:ascii="Arial" w:hAnsi="Arial" w:cs="Arial"/>
          <w:sz w:val="22"/>
        </w:rPr>
        <w:t xml:space="preserve">El Índice de Confianza del Consumidor (ICC) define el nivel de optimismo que tienen los hogares a </w:t>
      </w:r>
      <w:r w:rsidR="00D42F59" w:rsidRPr="006C6043">
        <w:rPr>
          <w:rFonts w:ascii="Arial" w:hAnsi="Arial" w:cs="Arial"/>
          <w:sz w:val="22"/>
        </w:rPr>
        <w:t>raíz</w:t>
      </w:r>
      <w:r w:rsidRPr="006C6043">
        <w:rPr>
          <w:rFonts w:ascii="Arial" w:hAnsi="Arial" w:cs="Arial"/>
          <w:sz w:val="22"/>
        </w:rPr>
        <w:t xml:space="preserve"> de sus percepciones actuales y expectativas. Refleja la opinión del jefe del hogar o del informante calificado respecto a: la situación económica del hogar, situación económica del país, nivel de empleo, alimentación y entretenimiento. Se aplicó la metodología del Banco Central del Ecuador, la cual recoge información de fuentes primarias mediante encuestas aplicada</w:t>
      </w:r>
      <w:r w:rsidR="00B82160" w:rsidRPr="006C6043">
        <w:rPr>
          <w:rFonts w:ascii="Arial" w:hAnsi="Arial" w:cs="Arial"/>
          <w:sz w:val="22"/>
        </w:rPr>
        <w:t>s</w:t>
      </w:r>
      <w:r w:rsidRPr="006C6043">
        <w:rPr>
          <w:rFonts w:ascii="Arial" w:hAnsi="Arial" w:cs="Arial"/>
          <w:sz w:val="22"/>
        </w:rPr>
        <w:t xml:space="preserve"> en la</w:t>
      </w:r>
      <w:r w:rsidR="00451DBA" w:rsidRPr="006C6043">
        <w:rPr>
          <w:rFonts w:ascii="Arial" w:hAnsi="Arial" w:cs="Arial"/>
          <w:sz w:val="22"/>
        </w:rPr>
        <w:t>s</w:t>
      </w:r>
      <w:r w:rsidRPr="006C6043">
        <w:rPr>
          <w:rFonts w:ascii="Arial" w:hAnsi="Arial" w:cs="Arial"/>
          <w:sz w:val="22"/>
        </w:rPr>
        <w:t xml:space="preserve"> ciudad</w:t>
      </w:r>
      <w:r w:rsidR="00451DBA" w:rsidRPr="006C6043">
        <w:rPr>
          <w:rFonts w:ascii="Arial" w:hAnsi="Arial" w:cs="Arial"/>
          <w:sz w:val="22"/>
        </w:rPr>
        <w:t>es</w:t>
      </w:r>
      <w:r w:rsidR="00B82160" w:rsidRPr="006C6043">
        <w:rPr>
          <w:rFonts w:ascii="Arial" w:hAnsi="Arial" w:cs="Arial"/>
          <w:sz w:val="22"/>
        </w:rPr>
        <w:t xml:space="preserve"> de </w:t>
      </w:r>
      <w:r w:rsidR="00451DBA" w:rsidRPr="006C6043">
        <w:rPr>
          <w:rFonts w:ascii="Arial" w:hAnsi="Arial" w:cs="Arial"/>
          <w:sz w:val="22"/>
        </w:rPr>
        <w:t xml:space="preserve">Latacunga y </w:t>
      </w:r>
      <w:r w:rsidRPr="006C6043">
        <w:rPr>
          <w:rFonts w:ascii="Arial" w:hAnsi="Arial" w:cs="Arial"/>
          <w:sz w:val="22"/>
        </w:rPr>
        <w:t>Riobamba</w:t>
      </w:r>
      <w:r w:rsidR="00E2484A" w:rsidRPr="006C6043">
        <w:rPr>
          <w:rFonts w:ascii="Arial" w:hAnsi="Arial" w:cs="Arial"/>
          <w:sz w:val="22"/>
        </w:rPr>
        <w:t>.</w:t>
      </w:r>
      <w:r w:rsidRPr="006C6043">
        <w:rPr>
          <w:rFonts w:ascii="Arial" w:hAnsi="Arial" w:cs="Arial"/>
          <w:sz w:val="22"/>
        </w:rPr>
        <w:t xml:space="preserve"> </w:t>
      </w:r>
    </w:p>
    <w:p w14:paraId="718FF5F0" w14:textId="77777777" w:rsidR="00B857D8" w:rsidRPr="006C6043" w:rsidRDefault="00B857D8" w:rsidP="00B857D8">
      <w:pPr>
        <w:pStyle w:val="Sinespaciado"/>
        <w:rPr>
          <w:rFonts w:ascii="Arial" w:hAnsi="Arial" w:cs="Arial"/>
        </w:rPr>
      </w:pPr>
    </w:p>
    <w:p w14:paraId="7C3215B1" w14:textId="6D638DA6" w:rsidR="00B857D8" w:rsidRPr="006C6043" w:rsidRDefault="00335B00" w:rsidP="00B857D8">
      <w:pPr>
        <w:tabs>
          <w:tab w:val="left" w:pos="142"/>
        </w:tabs>
        <w:spacing w:line="240" w:lineRule="auto"/>
        <w:ind w:firstLine="0"/>
        <w:rPr>
          <w:rFonts w:ascii="Arial" w:hAnsi="Arial" w:cs="Arial"/>
          <w:sz w:val="22"/>
        </w:rPr>
      </w:pPr>
      <w:r w:rsidRPr="006C6043">
        <w:rPr>
          <w:rFonts w:ascii="Arial" w:hAnsi="Arial" w:cs="Arial"/>
          <w:sz w:val="22"/>
        </w:rPr>
        <w:t xml:space="preserve">Las respuestas se categorizan en tres niveles: peor, igual o mejor, con una ponderación de 0, 50 o 100 puntos respectivamente. El 0 </w:t>
      </w:r>
      <w:r w:rsidR="009824EB" w:rsidRPr="006C6043">
        <w:rPr>
          <w:rFonts w:ascii="Arial" w:hAnsi="Arial" w:cs="Arial"/>
          <w:sz w:val="22"/>
        </w:rPr>
        <w:t>caracteriza</w:t>
      </w:r>
      <w:r w:rsidRPr="006C6043">
        <w:rPr>
          <w:rFonts w:ascii="Arial" w:hAnsi="Arial" w:cs="Arial"/>
          <w:sz w:val="22"/>
        </w:rPr>
        <w:t xml:space="preserve"> una condición de empeoramiento, 50 que la condición se mantiene </w:t>
      </w:r>
      <w:r w:rsidR="009824EB" w:rsidRPr="006C6043">
        <w:rPr>
          <w:rFonts w:ascii="Arial" w:hAnsi="Arial" w:cs="Arial"/>
          <w:sz w:val="22"/>
        </w:rPr>
        <w:t>igual</w:t>
      </w:r>
      <w:r w:rsidRPr="006C6043">
        <w:rPr>
          <w:rFonts w:ascii="Arial" w:hAnsi="Arial" w:cs="Arial"/>
          <w:sz w:val="22"/>
        </w:rPr>
        <w:t xml:space="preserve"> y 100 que la condición mejora. </w:t>
      </w:r>
    </w:p>
    <w:p w14:paraId="7BF46B79" w14:textId="77777777" w:rsidR="00B857D8" w:rsidRPr="006C6043" w:rsidRDefault="00B857D8" w:rsidP="00B857D8">
      <w:pPr>
        <w:pStyle w:val="Sinespaciado"/>
        <w:rPr>
          <w:rFonts w:ascii="Arial" w:hAnsi="Arial" w:cs="Arial"/>
          <w:sz w:val="22"/>
          <w:szCs w:val="20"/>
        </w:rPr>
      </w:pPr>
    </w:p>
    <w:p w14:paraId="1079D07E" w14:textId="6D3CB394" w:rsidR="00B857D8" w:rsidRDefault="00335B00" w:rsidP="00B857D8">
      <w:pPr>
        <w:tabs>
          <w:tab w:val="left" w:pos="142"/>
        </w:tabs>
        <w:spacing w:line="240" w:lineRule="auto"/>
        <w:ind w:firstLine="0"/>
        <w:rPr>
          <w:rFonts w:ascii="Arial" w:hAnsi="Arial" w:cs="Arial"/>
          <w:sz w:val="22"/>
        </w:rPr>
      </w:pPr>
      <w:r w:rsidRPr="006C6043">
        <w:rPr>
          <w:rFonts w:ascii="Arial" w:hAnsi="Arial" w:cs="Arial"/>
          <w:sz w:val="22"/>
        </w:rPr>
        <w:t xml:space="preserve">La población objeto de estudio son los hogares </w:t>
      </w:r>
      <w:r w:rsidR="00622611" w:rsidRPr="006C6043">
        <w:rPr>
          <w:rFonts w:ascii="Arial" w:hAnsi="Arial" w:cs="Arial"/>
          <w:sz w:val="22"/>
        </w:rPr>
        <w:t xml:space="preserve">de la zona urbana </w:t>
      </w:r>
      <w:r w:rsidRPr="006C6043">
        <w:rPr>
          <w:rFonts w:ascii="Arial" w:hAnsi="Arial" w:cs="Arial"/>
          <w:sz w:val="22"/>
        </w:rPr>
        <w:t>de</w:t>
      </w:r>
      <w:r w:rsidR="00451DBA" w:rsidRPr="006C6043">
        <w:rPr>
          <w:rFonts w:ascii="Arial" w:hAnsi="Arial" w:cs="Arial"/>
          <w:sz w:val="22"/>
        </w:rPr>
        <w:t xml:space="preserve"> los</w:t>
      </w:r>
      <w:r w:rsidR="00B82160" w:rsidRPr="006C6043">
        <w:rPr>
          <w:rFonts w:ascii="Arial" w:hAnsi="Arial" w:cs="Arial"/>
          <w:sz w:val="22"/>
        </w:rPr>
        <w:t xml:space="preserve"> cant</w:t>
      </w:r>
      <w:r w:rsidR="00451DBA" w:rsidRPr="006C6043">
        <w:rPr>
          <w:rFonts w:ascii="Arial" w:hAnsi="Arial" w:cs="Arial"/>
          <w:sz w:val="22"/>
        </w:rPr>
        <w:t xml:space="preserve">ones de Latacunga y </w:t>
      </w:r>
      <w:r w:rsidRPr="006C6043">
        <w:rPr>
          <w:rFonts w:ascii="Arial" w:hAnsi="Arial" w:cs="Arial"/>
          <w:sz w:val="22"/>
        </w:rPr>
        <w:t>Riobamba</w:t>
      </w:r>
      <w:r w:rsidR="00B857D8" w:rsidRPr="006C6043">
        <w:rPr>
          <w:rFonts w:ascii="Arial" w:hAnsi="Arial" w:cs="Arial"/>
          <w:sz w:val="22"/>
        </w:rPr>
        <w:t>.</w:t>
      </w:r>
    </w:p>
    <w:p w14:paraId="4F409964" w14:textId="77777777" w:rsidR="00840054" w:rsidRPr="00840054" w:rsidRDefault="00840054" w:rsidP="00B857D8">
      <w:pPr>
        <w:tabs>
          <w:tab w:val="left" w:pos="142"/>
        </w:tabs>
        <w:spacing w:line="240" w:lineRule="auto"/>
        <w:ind w:firstLine="0"/>
        <w:rPr>
          <w:rFonts w:ascii="Arial" w:hAnsi="Arial" w:cs="Arial"/>
          <w:sz w:val="22"/>
        </w:rPr>
      </w:pPr>
    </w:p>
    <w:p w14:paraId="6F250750" w14:textId="7F761E1F" w:rsidR="00DC140C" w:rsidRPr="00840054" w:rsidRDefault="00DC140C" w:rsidP="00B857D8">
      <w:pPr>
        <w:tabs>
          <w:tab w:val="left" w:pos="142"/>
        </w:tabs>
        <w:spacing w:line="240" w:lineRule="auto"/>
        <w:ind w:firstLine="0"/>
        <w:rPr>
          <w:rFonts w:ascii="Arial" w:hAnsi="Arial" w:cs="Arial"/>
          <w:b/>
          <w:bCs/>
          <w:szCs w:val="24"/>
        </w:rPr>
      </w:pPr>
      <w:r w:rsidRPr="00840054">
        <w:rPr>
          <w:rFonts w:ascii="Arial" w:hAnsi="Arial" w:cs="Arial"/>
          <w:b/>
          <w:bCs/>
          <w:szCs w:val="24"/>
        </w:rPr>
        <w:t>Cálculo del ICC</w:t>
      </w:r>
    </w:p>
    <w:p w14:paraId="3568C856" w14:textId="77777777" w:rsidR="00B857D8" w:rsidRPr="006C6043" w:rsidRDefault="00B857D8" w:rsidP="00B857D8">
      <w:pPr>
        <w:pStyle w:val="Sinespaciado"/>
        <w:rPr>
          <w:rFonts w:ascii="Arial" w:hAnsi="Arial" w:cs="Arial"/>
          <w:sz w:val="22"/>
          <w:szCs w:val="20"/>
        </w:rPr>
      </w:pPr>
    </w:p>
    <w:p w14:paraId="267B9070" w14:textId="7CCCAA08" w:rsidR="00335B00" w:rsidRPr="006C6043" w:rsidRDefault="00335B00" w:rsidP="00B857D8">
      <w:pPr>
        <w:tabs>
          <w:tab w:val="left" w:pos="142"/>
        </w:tabs>
        <w:spacing w:line="240" w:lineRule="auto"/>
        <w:ind w:firstLine="0"/>
        <w:rPr>
          <w:rFonts w:ascii="Arial" w:hAnsi="Arial" w:cs="Arial"/>
          <w:b/>
          <w:bCs/>
          <w:sz w:val="22"/>
        </w:rPr>
      </w:pPr>
      <w:r w:rsidRPr="006C6043">
        <w:rPr>
          <w:rFonts w:ascii="Arial" w:hAnsi="Arial" w:cs="Arial"/>
          <w:sz w:val="22"/>
        </w:rPr>
        <w:t>La ecuación para el cálculo del ICC es la siguiente:</w:t>
      </w:r>
    </w:p>
    <w:p w14:paraId="5BEBE047" w14:textId="2850819B" w:rsidR="00D748E0" w:rsidRPr="00A47A9C" w:rsidRDefault="00000000" w:rsidP="006C6043">
      <w:pPr>
        <w:tabs>
          <w:tab w:val="left" w:pos="142"/>
        </w:tabs>
        <w:spacing w:line="240" w:lineRule="auto"/>
        <w:rPr>
          <w:rFonts w:ascii="Arial" w:eastAsiaTheme="minorEastAsia" w:hAnsi="Arial" w:cs="Arial"/>
          <w:b/>
          <w:bCs/>
          <w:sz w:val="22"/>
          <w:lang w:val="es-ES"/>
        </w:rPr>
      </w:pPr>
      <m:oMathPara>
        <m:oMathParaPr>
          <m:jc m:val="center"/>
        </m:oMathParaPr>
        <m:oMath>
          <m:sSub>
            <m:sSubPr>
              <m:ctrlPr>
                <w:rPr>
                  <w:rFonts w:ascii="Cambria Math" w:eastAsiaTheme="minorEastAsia" w:hAnsi="Cambria Math" w:cs="Arial"/>
                  <w:b/>
                  <w:bCs/>
                  <w:i/>
                  <w:noProof/>
                  <w:sz w:val="22"/>
                  <w:lang w:val="es-ES"/>
                </w:rPr>
              </m:ctrlPr>
            </m:sSubPr>
            <m:e>
              <m:r>
                <m:rPr>
                  <m:sty m:val="bi"/>
                </m:rPr>
                <w:rPr>
                  <w:rFonts w:ascii="Cambria Math" w:eastAsiaTheme="minorEastAsia" w:hAnsi="Cambria Math" w:cs="Arial"/>
                  <w:noProof/>
                  <w:sz w:val="22"/>
                  <w:lang w:val="es-ES"/>
                </w:rPr>
                <m:t>ICC</m:t>
              </m:r>
            </m:e>
            <m:sub>
              <m:r>
                <m:rPr>
                  <m:sty m:val="bi"/>
                </m:rPr>
                <w:rPr>
                  <w:rFonts w:ascii="Cambria Math" w:eastAsiaTheme="minorEastAsia" w:hAnsi="Cambria Math" w:cs="Arial"/>
                  <w:noProof/>
                  <w:sz w:val="22"/>
                  <w:lang w:val="es-ES"/>
                </w:rPr>
                <m:t>t</m:t>
              </m:r>
            </m:sub>
          </m:sSub>
          <m:r>
            <m:rPr>
              <m:sty m:val="bi"/>
            </m:rPr>
            <w:rPr>
              <w:rFonts w:ascii="Cambria Math" w:eastAsiaTheme="minorEastAsia" w:hAnsi="Cambria Math" w:cs="Arial"/>
              <w:noProof/>
              <w:sz w:val="22"/>
              <w:lang w:val="es-ES"/>
            </w:rPr>
            <m:t>=</m:t>
          </m:r>
          <m:f>
            <m:fPr>
              <m:ctrlPr>
                <w:rPr>
                  <w:rFonts w:ascii="Cambria Math" w:eastAsiaTheme="minorEastAsia" w:hAnsi="Cambria Math" w:cs="Arial"/>
                  <w:b/>
                  <w:bCs/>
                  <w:i/>
                  <w:noProof/>
                  <w:sz w:val="22"/>
                  <w:lang w:val="es-ES"/>
                </w:rPr>
              </m:ctrlPr>
            </m:fPr>
            <m:num>
              <m:r>
                <m:rPr>
                  <m:sty m:val="bi"/>
                </m:rPr>
                <w:rPr>
                  <w:rFonts w:ascii="Cambria Math" w:eastAsiaTheme="minorEastAsia" w:hAnsi="Cambria Math" w:cs="Arial"/>
                  <w:noProof/>
                  <w:sz w:val="22"/>
                  <w:lang w:val="es-ES"/>
                </w:rPr>
                <m:t>2</m:t>
              </m:r>
            </m:num>
            <m:den>
              <m:r>
                <m:rPr>
                  <m:sty m:val="bi"/>
                </m:rPr>
                <w:rPr>
                  <w:rFonts w:ascii="Cambria Math" w:eastAsiaTheme="minorEastAsia" w:hAnsi="Cambria Math" w:cs="Arial"/>
                  <w:noProof/>
                  <w:sz w:val="22"/>
                  <w:lang w:val="es-ES"/>
                </w:rPr>
                <m:t>3</m:t>
              </m:r>
            </m:den>
          </m:f>
          <m:r>
            <m:rPr>
              <m:sty m:val="bi"/>
            </m:rPr>
            <w:rPr>
              <w:rFonts w:ascii="Cambria Math" w:eastAsiaTheme="minorEastAsia" w:hAnsi="Cambria Math" w:cs="Arial"/>
              <w:noProof/>
              <w:sz w:val="22"/>
              <w:lang w:val="es-ES"/>
            </w:rPr>
            <m:t xml:space="preserve"> </m:t>
          </m:r>
          <m:sSub>
            <m:sSubPr>
              <m:ctrlPr>
                <w:rPr>
                  <w:rFonts w:ascii="Cambria Math" w:eastAsiaTheme="minorEastAsia" w:hAnsi="Cambria Math" w:cs="Arial"/>
                  <w:b/>
                  <w:bCs/>
                  <w:i/>
                  <w:noProof/>
                  <w:sz w:val="22"/>
                  <w:lang w:val="es-ES"/>
                </w:rPr>
              </m:ctrlPr>
            </m:sSubPr>
            <m:e>
              <m:r>
                <m:rPr>
                  <m:sty m:val="bi"/>
                </m:rPr>
                <w:rPr>
                  <w:rFonts w:ascii="Cambria Math" w:eastAsiaTheme="minorEastAsia" w:hAnsi="Cambria Math" w:cs="Arial"/>
                  <w:noProof/>
                  <w:sz w:val="22"/>
                  <w:lang w:val="es-ES"/>
                </w:rPr>
                <m:t>ISP</m:t>
              </m:r>
            </m:e>
            <m:sub>
              <m:r>
                <m:rPr>
                  <m:sty m:val="bi"/>
                </m:rPr>
                <w:rPr>
                  <w:rFonts w:ascii="Cambria Math" w:eastAsiaTheme="minorEastAsia" w:hAnsi="Cambria Math" w:cs="Arial"/>
                  <w:noProof/>
                  <w:sz w:val="22"/>
                  <w:lang w:val="es-ES"/>
                </w:rPr>
                <m:t>t</m:t>
              </m:r>
            </m:sub>
          </m:sSub>
          <m:r>
            <m:rPr>
              <m:sty m:val="bi"/>
            </m:rPr>
            <w:rPr>
              <w:rFonts w:ascii="Cambria Math" w:eastAsiaTheme="minorEastAsia" w:hAnsi="Cambria Math" w:cs="Arial"/>
              <w:noProof/>
              <w:sz w:val="22"/>
              <w:lang w:val="es-ES"/>
            </w:rPr>
            <m:t>+</m:t>
          </m:r>
          <m:f>
            <m:fPr>
              <m:ctrlPr>
                <w:rPr>
                  <w:rFonts w:ascii="Cambria Math" w:eastAsiaTheme="minorEastAsia" w:hAnsi="Cambria Math" w:cs="Arial"/>
                  <w:b/>
                  <w:bCs/>
                  <w:i/>
                  <w:noProof/>
                  <w:sz w:val="22"/>
                  <w:lang w:val="es-ES"/>
                </w:rPr>
              </m:ctrlPr>
            </m:fPr>
            <m:num>
              <m:r>
                <m:rPr>
                  <m:sty m:val="bi"/>
                </m:rPr>
                <w:rPr>
                  <w:rFonts w:ascii="Cambria Math" w:eastAsiaTheme="minorEastAsia" w:hAnsi="Cambria Math" w:cs="Arial"/>
                  <w:noProof/>
                  <w:sz w:val="22"/>
                  <w:lang w:val="es-ES"/>
                </w:rPr>
                <m:t>1</m:t>
              </m:r>
            </m:num>
            <m:den>
              <m:r>
                <m:rPr>
                  <m:sty m:val="bi"/>
                </m:rPr>
                <w:rPr>
                  <w:rFonts w:ascii="Cambria Math" w:eastAsiaTheme="minorEastAsia" w:hAnsi="Cambria Math" w:cs="Arial"/>
                  <w:noProof/>
                  <w:sz w:val="22"/>
                  <w:lang w:val="es-ES"/>
                </w:rPr>
                <m:t>3</m:t>
              </m:r>
            </m:den>
          </m:f>
          <m:r>
            <m:rPr>
              <m:sty m:val="bi"/>
            </m:rPr>
            <w:rPr>
              <w:rFonts w:ascii="Cambria Math" w:eastAsiaTheme="minorEastAsia" w:hAnsi="Cambria Math" w:cs="Arial"/>
              <w:noProof/>
              <w:sz w:val="22"/>
              <w:lang w:val="es-ES"/>
            </w:rPr>
            <m:t xml:space="preserve"> </m:t>
          </m:r>
          <m:sSub>
            <m:sSubPr>
              <m:ctrlPr>
                <w:rPr>
                  <w:rFonts w:ascii="Cambria Math" w:eastAsiaTheme="minorEastAsia" w:hAnsi="Cambria Math" w:cs="Arial"/>
                  <w:b/>
                  <w:bCs/>
                  <w:i/>
                  <w:noProof/>
                  <w:sz w:val="22"/>
                  <w:lang w:val="es-ES"/>
                </w:rPr>
              </m:ctrlPr>
            </m:sSubPr>
            <m:e>
              <m:r>
                <m:rPr>
                  <m:sty m:val="bi"/>
                </m:rPr>
                <w:rPr>
                  <w:rFonts w:ascii="Cambria Math" w:eastAsiaTheme="minorEastAsia" w:hAnsi="Cambria Math" w:cs="Arial"/>
                  <w:noProof/>
                  <w:sz w:val="22"/>
                  <w:lang w:val="es-ES"/>
                </w:rPr>
                <m:t>IDE</m:t>
              </m:r>
            </m:e>
            <m:sub>
              <m:r>
                <m:rPr>
                  <m:sty m:val="bi"/>
                </m:rPr>
                <w:rPr>
                  <w:rFonts w:ascii="Cambria Math" w:eastAsiaTheme="minorEastAsia" w:hAnsi="Cambria Math" w:cs="Arial"/>
                  <w:noProof/>
                  <w:sz w:val="22"/>
                  <w:lang w:val="es-ES"/>
                </w:rPr>
                <m:t>t+1</m:t>
              </m:r>
            </m:sub>
          </m:sSub>
        </m:oMath>
      </m:oMathPara>
    </w:p>
    <w:p w14:paraId="481A7B0F" w14:textId="728AAE4B" w:rsidR="00585708" w:rsidRPr="006C6043" w:rsidRDefault="007B0567" w:rsidP="004A669E">
      <w:pPr>
        <w:tabs>
          <w:tab w:val="left" w:pos="142"/>
        </w:tabs>
        <w:spacing w:line="240" w:lineRule="auto"/>
        <w:ind w:firstLine="0"/>
        <w:rPr>
          <w:rFonts w:ascii="Arial" w:eastAsiaTheme="minorEastAsia" w:hAnsi="Arial" w:cs="Arial"/>
          <w:sz w:val="22"/>
          <w:lang w:val="es-ES"/>
        </w:rPr>
      </w:pPr>
      <w:r w:rsidRPr="006C6043">
        <w:rPr>
          <w:rFonts w:ascii="Arial" w:hAnsi="Arial" w:cs="Arial"/>
          <w:sz w:val="22"/>
          <w:lang w:val="es-ES"/>
        </w:rPr>
        <w:t>Donde:</w:t>
      </w:r>
      <w:r w:rsidR="00335B00" w:rsidRPr="006C6043">
        <w:rPr>
          <w:rFonts w:ascii="Arial" w:hAnsi="Arial" w:cs="Arial"/>
          <w:sz w:val="22"/>
          <w:lang w:val="es-ES"/>
        </w:rPr>
        <w:t xml:space="preserve"> </w:t>
      </w:r>
      <m:oMath>
        <m:sSub>
          <m:sSubPr>
            <m:ctrlPr>
              <w:rPr>
                <w:rFonts w:ascii="Cambria Math" w:hAnsi="Cambria Math" w:cs="Arial"/>
                <w:b/>
                <w:bCs/>
                <w:i/>
                <w:sz w:val="22"/>
                <w:lang w:val="es-ES"/>
              </w:rPr>
            </m:ctrlPr>
          </m:sSubPr>
          <m:e>
            <m:r>
              <m:rPr>
                <m:sty m:val="bi"/>
              </m:rPr>
              <w:rPr>
                <w:rFonts w:ascii="Cambria Math" w:hAnsi="Cambria Math" w:cs="Arial"/>
                <w:sz w:val="22"/>
                <w:lang w:val="es-ES"/>
              </w:rPr>
              <m:t>ISP</m:t>
            </m:r>
          </m:e>
          <m:sub>
            <m:r>
              <m:rPr>
                <m:sty m:val="bi"/>
              </m:rPr>
              <w:rPr>
                <w:rFonts w:ascii="Cambria Math" w:hAnsi="Cambria Math" w:cs="Arial"/>
                <w:sz w:val="22"/>
                <w:lang w:val="es-ES"/>
              </w:rPr>
              <m:t>t</m:t>
            </m:r>
          </m:sub>
        </m:sSub>
      </m:oMath>
      <w:r w:rsidR="00335B00" w:rsidRPr="006C6043">
        <w:rPr>
          <w:rFonts w:ascii="Arial" w:eastAsiaTheme="minorEastAsia" w:hAnsi="Arial" w:cs="Arial"/>
          <w:b/>
          <w:bCs/>
          <w:sz w:val="22"/>
          <w:lang w:val="es-ES"/>
        </w:rPr>
        <w:t xml:space="preserve"> </w:t>
      </w:r>
      <w:r w:rsidR="00335B00" w:rsidRPr="006C6043">
        <w:rPr>
          <w:rFonts w:ascii="Arial" w:eastAsiaTheme="minorEastAsia" w:hAnsi="Arial" w:cs="Arial"/>
          <w:sz w:val="22"/>
          <w:lang w:val="es-ES"/>
        </w:rPr>
        <w:t>es el indicador</w:t>
      </w:r>
      <w:r w:rsidR="00335B00" w:rsidRPr="006C6043">
        <w:rPr>
          <w:rFonts w:ascii="Arial" w:eastAsiaTheme="minorEastAsia" w:hAnsi="Arial" w:cs="Arial"/>
          <w:b/>
          <w:bCs/>
          <w:sz w:val="22"/>
          <w:lang w:val="es-ES"/>
        </w:rPr>
        <w:t xml:space="preserve"> </w:t>
      </w:r>
      <w:r w:rsidR="00335B00" w:rsidRPr="006C6043">
        <w:rPr>
          <w:rFonts w:ascii="Arial" w:eastAsiaTheme="minorEastAsia" w:hAnsi="Arial" w:cs="Arial"/>
          <w:sz w:val="22"/>
          <w:lang w:val="es-ES"/>
        </w:rPr>
        <w:t xml:space="preserve">de la situación presente a </w:t>
      </w:r>
      <w:r w:rsidR="00920DA1">
        <w:rPr>
          <w:rFonts w:ascii="Arial" w:eastAsiaTheme="minorEastAsia" w:hAnsi="Arial" w:cs="Arial"/>
          <w:sz w:val="22"/>
          <w:lang w:val="es-ES"/>
        </w:rPr>
        <w:t xml:space="preserve">mayo de 2025 </w:t>
      </w:r>
      <w:r w:rsidR="00335B00" w:rsidRPr="006C6043">
        <w:rPr>
          <w:rFonts w:ascii="Arial" w:eastAsiaTheme="minorEastAsia" w:hAnsi="Arial" w:cs="Arial"/>
          <w:sz w:val="22"/>
          <w:lang w:val="es-ES"/>
        </w:rPr>
        <w:t xml:space="preserve">y tiene una ponderación de 2/3 del total del indicador, mientras que el </w:t>
      </w:r>
      <m:oMath>
        <m:sSub>
          <m:sSubPr>
            <m:ctrlPr>
              <w:rPr>
                <w:rFonts w:ascii="Cambria Math" w:hAnsi="Cambria Math" w:cs="Arial"/>
                <w:b/>
                <w:bCs/>
                <w:i/>
                <w:sz w:val="22"/>
                <w:lang w:val="es-ES"/>
              </w:rPr>
            </m:ctrlPr>
          </m:sSubPr>
          <m:e>
            <m:r>
              <m:rPr>
                <m:sty m:val="bi"/>
              </m:rPr>
              <w:rPr>
                <w:rFonts w:ascii="Cambria Math" w:hAnsi="Cambria Math" w:cs="Arial"/>
                <w:sz w:val="22"/>
                <w:lang w:val="es-ES"/>
              </w:rPr>
              <m:t>IED</m:t>
            </m:r>
          </m:e>
          <m:sub>
            <m:r>
              <m:rPr>
                <m:sty m:val="bi"/>
              </m:rPr>
              <w:rPr>
                <w:rFonts w:ascii="Cambria Math" w:hAnsi="Cambria Math" w:cs="Arial"/>
                <w:sz w:val="22"/>
                <w:lang w:val="es-ES"/>
              </w:rPr>
              <m:t xml:space="preserve">t+1 </m:t>
            </m:r>
          </m:sub>
        </m:sSub>
      </m:oMath>
      <w:r w:rsidR="00335B00" w:rsidRPr="006C6043">
        <w:rPr>
          <w:rFonts w:ascii="Arial" w:eastAsiaTheme="minorEastAsia" w:hAnsi="Arial" w:cs="Arial"/>
          <w:sz w:val="22"/>
          <w:lang w:val="es-ES"/>
        </w:rPr>
        <w:t>es el indicador</w:t>
      </w:r>
      <w:r w:rsidR="00335B00" w:rsidRPr="006C6043">
        <w:rPr>
          <w:rFonts w:ascii="Arial" w:eastAsiaTheme="minorEastAsia" w:hAnsi="Arial" w:cs="Arial"/>
          <w:b/>
          <w:bCs/>
          <w:sz w:val="22"/>
          <w:lang w:val="es-ES"/>
        </w:rPr>
        <w:t xml:space="preserve"> </w:t>
      </w:r>
      <w:r w:rsidR="00335B00" w:rsidRPr="006C6043">
        <w:rPr>
          <w:rFonts w:ascii="Arial" w:eastAsiaTheme="minorEastAsia" w:hAnsi="Arial" w:cs="Arial"/>
          <w:sz w:val="22"/>
          <w:lang w:val="es-ES"/>
        </w:rPr>
        <w:t xml:space="preserve">de expectativas, que representa al mes de </w:t>
      </w:r>
      <w:r w:rsidR="00920DA1">
        <w:rPr>
          <w:rFonts w:ascii="Arial" w:eastAsiaTheme="minorEastAsia" w:hAnsi="Arial" w:cs="Arial"/>
          <w:sz w:val="22"/>
          <w:lang w:val="es-ES"/>
        </w:rPr>
        <w:t>agosto</w:t>
      </w:r>
      <w:r w:rsidR="00CF48FC" w:rsidRPr="006C6043">
        <w:rPr>
          <w:rFonts w:ascii="Arial" w:eastAsiaTheme="minorEastAsia" w:hAnsi="Arial" w:cs="Arial"/>
          <w:sz w:val="22"/>
          <w:lang w:val="es-ES"/>
        </w:rPr>
        <w:t xml:space="preserve"> del 202</w:t>
      </w:r>
      <w:r w:rsidR="008C081C" w:rsidRPr="006C6043">
        <w:rPr>
          <w:rFonts w:ascii="Arial" w:eastAsiaTheme="minorEastAsia" w:hAnsi="Arial" w:cs="Arial"/>
          <w:sz w:val="22"/>
          <w:lang w:val="es-ES"/>
        </w:rPr>
        <w:t>5</w:t>
      </w:r>
      <w:r w:rsidR="00CF48FC" w:rsidRPr="006C6043">
        <w:rPr>
          <w:rFonts w:ascii="Arial" w:eastAsiaTheme="minorEastAsia" w:hAnsi="Arial" w:cs="Arial"/>
          <w:sz w:val="22"/>
          <w:lang w:val="es-ES"/>
        </w:rPr>
        <w:t xml:space="preserve"> y es ponderado con el 1/3 restante.</w:t>
      </w:r>
      <w:r w:rsidR="00436066" w:rsidRPr="006C6043">
        <w:rPr>
          <w:rFonts w:ascii="Arial" w:eastAsiaTheme="minorEastAsia" w:hAnsi="Arial" w:cs="Arial"/>
          <w:sz w:val="22"/>
          <w:lang w:val="es-ES"/>
        </w:rPr>
        <w:t xml:space="preserve"> </w:t>
      </w:r>
    </w:p>
    <w:p w14:paraId="5122918F" w14:textId="1934DF27" w:rsidR="00CF48FC" w:rsidRPr="006C6043" w:rsidRDefault="00B857D8" w:rsidP="004A669E">
      <w:pPr>
        <w:pStyle w:val="Descripcin"/>
        <w:keepNext/>
        <w:spacing w:before="240"/>
        <w:ind w:firstLine="0"/>
        <w:rPr>
          <w:rFonts w:ascii="Arial" w:hAnsi="Arial" w:cs="Arial"/>
          <w:i w:val="0"/>
          <w:iCs w:val="0"/>
          <w:color w:val="000000" w:themeColor="text1"/>
          <w:sz w:val="20"/>
          <w:szCs w:val="20"/>
        </w:rPr>
      </w:pPr>
      <w:r w:rsidRPr="006C6043">
        <w:rPr>
          <w:rFonts w:ascii="Arial" w:hAnsi="Arial" w:cs="Arial"/>
          <w:b/>
          <w:bCs/>
          <w:i w:val="0"/>
          <w:iCs w:val="0"/>
          <w:color w:val="000000" w:themeColor="text1"/>
          <w:sz w:val="20"/>
          <w:szCs w:val="20"/>
        </w:rPr>
        <w:t>T</w:t>
      </w:r>
      <w:r w:rsidR="00CF48FC" w:rsidRPr="006C6043">
        <w:rPr>
          <w:rFonts w:ascii="Arial" w:hAnsi="Arial" w:cs="Arial"/>
          <w:b/>
          <w:bCs/>
          <w:i w:val="0"/>
          <w:iCs w:val="0"/>
          <w:color w:val="000000" w:themeColor="text1"/>
          <w:sz w:val="20"/>
          <w:szCs w:val="20"/>
        </w:rPr>
        <w:t>abla 1.</w:t>
      </w:r>
      <w:r w:rsidR="00CF48FC" w:rsidRPr="006C6043">
        <w:rPr>
          <w:rFonts w:ascii="Arial" w:hAnsi="Arial" w:cs="Arial"/>
          <w:i w:val="0"/>
          <w:iCs w:val="0"/>
          <w:color w:val="000000" w:themeColor="text1"/>
          <w:sz w:val="20"/>
          <w:szCs w:val="20"/>
        </w:rPr>
        <w:t xml:space="preserve"> Índice de confianza al consumidor de la</w:t>
      </w:r>
      <w:r w:rsidR="00451DBA" w:rsidRPr="006C6043">
        <w:rPr>
          <w:rFonts w:ascii="Arial" w:hAnsi="Arial" w:cs="Arial"/>
          <w:i w:val="0"/>
          <w:iCs w:val="0"/>
          <w:color w:val="000000" w:themeColor="text1"/>
          <w:sz w:val="20"/>
          <w:szCs w:val="20"/>
        </w:rPr>
        <w:t>s</w:t>
      </w:r>
      <w:r w:rsidR="00CF48FC" w:rsidRPr="006C6043">
        <w:rPr>
          <w:rFonts w:ascii="Arial" w:hAnsi="Arial" w:cs="Arial"/>
          <w:i w:val="0"/>
          <w:iCs w:val="0"/>
          <w:color w:val="000000" w:themeColor="text1"/>
          <w:sz w:val="20"/>
          <w:szCs w:val="20"/>
        </w:rPr>
        <w:t xml:space="preserve"> ciudad</w:t>
      </w:r>
      <w:r w:rsidR="00451DBA" w:rsidRPr="006C6043">
        <w:rPr>
          <w:rFonts w:ascii="Arial" w:hAnsi="Arial" w:cs="Arial"/>
          <w:i w:val="0"/>
          <w:iCs w:val="0"/>
          <w:color w:val="000000" w:themeColor="text1"/>
          <w:sz w:val="20"/>
          <w:szCs w:val="20"/>
        </w:rPr>
        <w:t>es</w:t>
      </w:r>
      <w:r w:rsidR="005D1F78" w:rsidRPr="006C6043">
        <w:rPr>
          <w:rFonts w:ascii="Arial" w:hAnsi="Arial" w:cs="Arial"/>
          <w:i w:val="0"/>
          <w:iCs w:val="0"/>
          <w:color w:val="000000" w:themeColor="text1"/>
          <w:sz w:val="20"/>
          <w:szCs w:val="20"/>
        </w:rPr>
        <w:t xml:space="preserve"> de </w:t>
      </w:r>
      <w:r w:rsidR="00424B55" w:rsidRPr="006C6043">
        <w:rPr>
          <w:rFonts w:ascii="Arial" w:hAnsi="Arial" w:cs="Arial"/>
          <w:i w:val="0"/>
          <w:iCs w:val="0"/>
          <w:color w:val="000000" w:themeColor="text1"/>
          <w:sz w:val="20"/>
          <w:szCs w:val="20"/>
        </w:rPr>
        <w:t xml:space="preserve">Latacunga y </w:t>
      </w:r>
      <w:r w:rsidR="00CF48FC" w:rsidRPr="006C6043">
        <w:rPr>
          <w:rFonts w:ascii="Arial" w:hAnsi="Arial" w:cs="Arial"/>
          <w:i w:val="0"/>
          <w:iCs w:val="0"/>
          <w:color w:val="000000" w:themeColor="text1"/>
          <w:sz w:val="20"/>
          <w:szCs w:val="20"/>
        </w:rPr>
        <w:t>Riobamb</w:t>
      </w:r>
      <w:r w:rsidR="00424B55" w:rsidRPr="006C6043">
        <w:rPr>
          <w:rFonts w:ascii="Arial" w:hAnsi="Arial" w:cs="Arial"/>
          <w:i w:val="0"/>
          <w:iCs w:val="0"/>
          <w:color w:val="000000" w:themeColor="text1"/>
          <w:sz w:val="20"/>
          <w:szCs w:val="20"/>
        </w:rPr>
        <w:t>a</w:t>
      </w:r>
    </w:p>
    <w:tbl>
      <w:tblPr>
        <w:tblW w:w="9041" w:type="dxa"/>
        <w:tblCellMar>
          <w:left w:w="70" w:type="dxa"/>
          <w:right w:w="70" w:type="dxa"/>
        </w:tblCellMar>
        <w:tblLook w:val="04A0" w:firstRow="1" w:lastRow="0" w:firstColumn="1" w:lastColumn="0" w:noHBand="0" w:noVBand="1"/>
      </w:tblPr>
      <w:tblGrid>
        <w:gridCol w:w="2793"/>
        <w:gridCol w:w="1445"/>
        <w:gridCol w:w="1679"/>
        <w:gridCol w:w="1445"/>
        <w:gridCol w:w="1679"/>
      </w:tblGrid>
      <w:tr w:rsidR="00A47A9C" w:rsidRPr="006C6043" w14:paraId="2D84854F" w14:textId="77777777" w:rsidTr="005A5257">
        <w:trPr>
          <w:trHeight w:val="516"/>
        </w:trPr>
        <w:tc>
          <w:tcPr>
            <w:tcW w:w="2793" w:type="dxa"/>
            <w:tcBorders>
              <w:top w:val="single" w:sz="8" w:space="0" w:color="auto"/>
              <w:left w:val="nil"/>
              <w:right w:val="nil"/>
            </w:tcBorders>
            <w:shd w:val="clear" w:color="000000" w:fill="FFFFFF"/>
            <w:vAlign w:val="center"/>
          </w:tcPr>
          <w:p w14:paraId="3F5BC47F" w14:textId="77777777" w:rsidR="00A47A9C" w:rsidRPr="006C6043" w:rsidRDefault="00A47A9C" w:rsidP="00684C34">
            <w:pPr>
              <w:spacing w:after="0" w:line="240" w:lineRule="auto"/>
              <w:ind w:firstLine="0"/>
              <w:jc w:val="center"/>
              <w:rPr>
                <w:rFonts w:ascii="Arial" w:eastAsia="Times New Roman" w:hAnsi="Arial" w:cs="Arial"/>
                <w:b/>
                <w:bCs/>
                <w:color w:val="000000"/>
                <w:sz w:val="20"/>
                <w:szCs w:val="20"/>
                <w:lang w:eastAsia="es-EC"/>
              </w:rPr>
            </w:pPr>
          </w:p>
        </w:tc>
        <w:tc>
          <w:tcPr>
            <w:tcW w:w="3124" w:type="dxa"/>
            <w:gridSpan w:val="2"/>
            <w:tcBorders>
              <w:top w:val="single" w:sz="8" w:space="0" w:color="auto"/>
              <w:left w:val="nil"/>
              <w:bottom w:val="nil"/>
              <w:right w:val="nil"/>
            </w:tcBorders>
            <w:shd w:val="clear" w:color="000000" w:fill="FFFFFF"/>
            <w:vAlign w:val="center"/>
          </w:tcPr>
          <w:p w14:paraId="6D131C4C" w14:textId="7FB48FBC" w:rsidR="00A47A9C" w:rsidRPr="006C6043" w:rsidRDefault="00A47A9C" w:rsidP="00684C34">
            <w:pPr>
              <w:spacing w:after="0" w:line="240" w:lineRule="auto"/>
              <w:ind w:firstLine="0"/>
              <w:jc w:val="center"/>
              <w:rPr>
                <w:rFonts w:ascii="Arial" w:eastAsia="Times New Roman" w:hAnsi="Arial" w:cs="Arial"/>
                <w:b/>
                <w:bCs/>
                <w:color w:val="000000"/>
                <w:sz w:val="20"/>
                <w:szCs w:val="20"/>
                <w:lang w:eastAsia="es-EC"/>
              </w:rPr>
            </w:pPr>
            <w:r>
              <w:rPr>
                <w:rFonts w:ascii="Arial" w:eastAsia="Times New Roman" w:hAnsi="Arial" w:cs="Arial"/>
                <w:b/>
                <w:bCs/>
                <w:color w:val="000000"/>
                <w:sz w:val="20"/>
                <w:szCs w:val="20"/>
                <w:lang w:eastAsia="es-EC"/>
              </w:rPr>
              <w:t>Latacunga</w:t>
            </w:r>
          </w:p>
        </w:tc>
        <w:tc>
          <w:tcPr>
            <w:tcW w:w="3124" w:type="dxa"/>
            <w:gridSpan w:val="2"/>
            <w:tcBorders>
              <w:top w:val="single" w:sz="8" w:space="0" w:color="auto"/>
              <w:left w:val="nil"/>
              <w:bottom w:val="nil"/>
              <w:right w:val="nil"/>
            </w:tcBorders>
            <w:shd w:val="clear" w:color="000000" w:fill="FFFFFF"/>
            <w:vAlign w:val="center"/>
          </w:tcPr>
          <w:p w14:paraId="3594EE3E" w14:textId="22B97218" w:rsidR="00A47A9C" w:rsidRPr="006C6043" w:rsidRDefault="00A47A9C" w:rsidP="00684C34">
            <w:pPr>
              <w:spacing w:after="0" w:line="240" w:lineRule="auto"/>
              <w:ind w:firstLine="0"/>
              <w:jc w:val="center"/>
              <w:rPr>
                <w:rFonts w:ascii="Arial" w:eastAsia="Times New Roman" w:hAnsi="Arial" w:cs="Arial"/>
                <w:b/>
                <w:bCs/>
                <w:color w:val="000000"/>
                <w:sz w:val="20"/>
                <w:szCs w:val="20"/>
                <w:lang w:eastAsia="es-EC"/>
              </w:rPr>
            </w:pPr>
            <w:r>
              <w:rPr>
                <w:rFonts w:ascii="Arial" w:eastAsia="Times New Roman" w:hAnsi="Arial" w:cs="Arial"/>
                <w:b/>
                <w:bCs/>
                <w:color w:val="000000"/>
                <w:sz w:val="20"/>
                <w:szCs w:val="20"/>
                <w:lang w:eastAsia="es-EC"/>
              </w:rPr>
              <w:t>Riobamba</w:t>
            </w:r>
          </w:p>
        </w:tc>
      </w:tr>
      <w:tr w:rsidR="006C6043" w:rsidRPr="006C6043" w14:paraId="1DCC7EFC" w14:textId="77777777" w:rsidTr="00A47A9C">
        <w:trPr>
          <w:trHeight w:val="516"/>
        </w:trPr>
        <w:tc>
          <w:tcPr>
            <w:tcW w:w="2793" w:type="dxa"/>
            <w:tcBorders>
              <w:top w:val="single" w:sz="8" w:space="0" w:color="auto"/>
              <w:left w:val="nil"/>
              <w:right w:val="nil"/>
            </w:tcBorders>
            <w:shd w:val="clear" w:color="000000" w:fill="FFFFFF"/>
            <w:vAlign w:val="center"/>
            <w:hideMark/>
          </w:tcPr>
          <w:p w14:paraId="58552867" w14:textId="77777777" w:rsidR="006C6043" w:rsidRPr="006C6043" w:rsidRDefault="006C6043" w:rsidP="00684C34">
            <w:pPr>
              <w:spacing w:after="0" w:line="240" w:lineRule="auto"/>
              <w:ind w:firstLine="0"/>
              <w:jc w:val="center"/>
              <w:rPr>
                <w:rFonts w:ascii="Arial" w:eastAsia="Times New Roman" w:hAnsi="Arial" w:cs="Arial"/>
                <w:b/>
                <w:bCs/>
                <w:color w:val="000000"/>
                <w:sz w:val="20"/>
                <w:szCs w:val="20"/>
                <w:lang w:eastAsia="es-EC"/>
              </w:rPr>
            </w:pPr>
            <w:r w:rsidRPr="006C6043">
              <w:rPr>
                <w:rFonts w:ascii="Arial" w:eastAsia="Times New Roman" w:hAnsi="Arial" w:cs="Arial"/>
                <w:b/>
                <w:bCs/>
                <w:color w:val="000000"/>
                <w:sz w:val="20"/>
                <w:szCs w:val="20"/>
                <w:lang w:eastAsia="es-EC"/>
              </w:rPr>
              <w:t>Categoría</w:t>
            </w:r>
          </w:p>
        </w:tc>
        <w:tc>
          <w:tcPr>
            <w:tcW w:w="1445" w:type="dxa"/>
            <w:tcBorders>
              <w:top w:val="single" w:sz="8" w:space="0" w:color="auto"/>
              <w:left w:val="nil"/>
              <w:bottom w:val="nil"/>
              <w:right w:val="nil"/>
            </w:tcBorders>
            <w:shd w:val="clear" w:color="000000" w:fill="FFFFFF"/>
            <w:vAlign w:val="center"/>
            <w:hideMark/>
          </w:tcPr>
          <w:p w14:paraId="55FBD59A" w14:textId="77777777" w:rsidR="006C6043" w:rsidRPr="006C6043" w:rsidRDefault="006C6043" w:rsidP="00684C34">
            <w:pPr>
              <w:spacing w:after="0" w:line="240" w:lineRule="auto"/>
              <w:ind w:firstLine="0"/>
              <w:jc w:val="center"/>
              <w:rPr>
                <w:rFonts w:ascii="Arial" w:eastAsia="Times New Roman" w:hAnsi="Arial" w:cs="Arial"/>
                <w:b/>
                <w:bCs/>
                <w:color w:val="000000"/>
                <w:sz w:val="20"/>
                <w:szCs w:val="20"/>
                <w:lang w:eastAsia="es-EC"/>
              </w:rPr>
            </w:pPr>
            <w:r w:rsidRPr="006C6043">
              <w:rPr>
                <w:rFonts w:ascii="Arial" w:eastAsia="Times New Roman" w:hAnsi="Arial" w:cs="Arial"/>
                <w:b/>
                <w:bCs/>
                <w:color w:val="000000"/>
                <w:sz w:val="20"/>
                <w:szCs w:val="20"/>
                <w:lang w:eastAsia="es-EC"/>
              </w:rPr>
              <w:t>Situación presente</w:t>
            </w:r>
          </w:p>
        </w:tc>
        <w:tc>
          <w:tcPr>
            <w:tcW w:w="1679" w:type="dxa"/>
            <w:tcBorders>
              <w:top w:val="single" w:sz="8" w:space="0" w:color="auto"/>
              <w:left w:val="nil"/>
              <w:bottom w:val="nil"/>
              <w:right w:val="nil"/>
            </w:tcBorders>
            <w:shd w:val="clear" w:color="000000" w:fill="FFFFFF"/>
            <w:vAlign w:val="center"/>
            <w:hideMark/>
          </w:tcPr>
          <w:p w14:paraId="393E5B26" w14:textId="77777777" w:rsidR="006C6043" w:rsidRPr="006C6043" w:rsidRDefault="006C6043" w:rsidP="00684C34">
            <w:pPr>
              <w:spacing w:after="0" w:line="240" w:lineRule="auto"/>
              <w:ind w:firstLine="0"/>
              <w:jc w:val="center"/>
              <w:rPr>
                <w:rFonts w:ascii="Arial" w:eastAsia="Times New Roman" w:hAnsi="Arial" w:cs="Arial"/>
                <w:b/>
                <w:bCs/>
                <w:color w:val="000000"/>
                <w:sz w:val="20"/>
                <w:szCs w:val="20"/>
                <w:lang w:eastAsia="es-EC"/>
              </w:rPr>
            </w:pPr>
            <w:r w:rsidRPr="006C6043">
              <w:rPr>
                <w:rFonts w:ascii="Arial" w:eastAsia="Times New Roman" w:hAnsi="Arial" w:cs="Arial"/>
                <w:b/>
                <w:bCs/>
                <w:color w:val="000000"/>
                <w:sz w:val="20"/>
                <w:szCs w:val="20"/>
                <w:lang w:eastAsia="es-EC"/>
              </w:rPr>
              <w:t>Expectativas futuras</w:t>
            </w:r>
          </w:p>
        </w:tc>
        <w:tc>
          <w:tcPr>
            <w:tcW w:w="1445" w:type="dxa"/>
            <w:tcBorders>
              <w:top w:val="single" w:sz="8" w:space="0" w:color="auto"/>
              <w:left w:val="nil"/>
              <w:bottom w:val="nil"/>
              <w:right w:val="nil"/>
            </w:tcBorders>
            <w:shd w:val="clear" w:color="000000" w:fill="FFFFFF"/>
            <w:vAlign w:val="center"/>
            <w:hideMark/>
          </w:tcPr>
          <w:p w14:paraId="283B915B" w14:textId="77777777" w:rsidR="006C6043" w:rsidRPr="006C6043" w:rsidRDefault="006C6043" w:rsidP="00684C34">
            <w:pPr>
              <w:spacing w:after="0" w:line="240" w:lineRule="auto"/>
              <w:ind w:firstLine="0"/>
              <w:jc w:val="center"/>
              <w:rPr>
                <w:rFonts w:ascii="Arial" w:eastAsia="Times New Roman" w:hAnsi="Arial" w:cs="Arial"/>
                <w:b/>
                <w:bCs/>
                <w:color w:val="000000"/>
                <w:sz w:val="20"/>
                <w:szCs w:val="20"/>
                <w:lang w:eastAsia="es-EC"/>
              </w:rPr>
            </w:pPr>
            <w:r w:rsidRPr="006C6043">
              <w:rPr>
                <w:rFonts w:ascii="Arial" w:eastAsia="Times New Roman" w:hAnsi="Arial" w:cs="Arial"/>
                <w:b/>
                <w:bCs/>
                <w:color w:val="000000"/>
                <w:sz w:val="20"/>
                <w:szCs w:val="20"/>
                <w:lang w:eastAsia="es-EC"/>
              </w:rPr>
              <w:t>Situación presente</w:t>
            </w:r>
          </w:p>
        </w:tc>
        <w:tc>
          <w:tcPr>
            <w:tcW w:w="1679" w:type="dxa"/>
            <w:tcBorders>
              <w:top w:val="single" w:sz="8" w:space="0" w:color="auto"/>
              <w:left w:val="nil"/>
              <w:bottom w:val="nil"/>
              <w:right w:val="nil"/>
            </w:tcBorders>
            <w:shd w:val="clear" w:color="000000" w:fill="FFFFFF"/>
            <w:vAlign w:val="center"/>
            <w:hideMark/>
          </w:tcPr>
          <w:p w14:paraId="10440DA7" w14:textId="77777777" w:rsidR="006C6043" w:rsidRPr="006C6043" w:rsidRDefault="006C6043" w:rsidP="00684C34">
            <w:pPr>
              <w:spacing w:after="0" w:line="240" w:lineRule="auto"/>
              <w:ind w:firstLine="0"/>
              <w:jc w:val="center"/>
              <w:rPr>
                <w:rFonts w:ascii="Arial" w:eastAsia="Times New Roman" w:hAnsi="Arial" w:cs="Arial"/>
                <w:b/>
                <w:bCs/>
                <w:color w:val="000000"/>
                <w:sz w:val="20"/>
                <w:szCs w:val="20"/>
                <w:lang w:eastAsia="es-EC"/>
              </w:rPr>
            </w:pPr>
            <w:r w:rsidRPr="006C6043">
              <w:rPr>
                <w:rFonts w:ascii="Arial" w:eastAsia="Times New Roman" w:hAnsi="Arial" w:cs="Arial"/>
                <w:b/>
                <w:bCs/>
                <w:color w:val="000000"/>
                <w:sz w:val="20"/>
                <w:szCs w:val="20"/>
                <w:lang w:eastAsia="es-EC"/>
              </w:rPr>
              <w:t xml:space="preserve">Expectativas futuras </w:t>
            </w:r>
          </w:p>
        </w:tc>
      </w:tr>
      <w:tr w:rsidR="00684C34" w:rsidRPr="006C6043" w14:paraId="18E0297F" w14:textId="77777777" w:rsidTr="00920DA1">
        <w:trPr>
          <w:trHeight w:val="337"/>
        </w:trPr>
        <w:tc>
          <w:tcPr>
            <w:tcW w:w="2793" w:type="dxa"/>
            <w:tcBorders>
              <w:top w:val="single" w:sz="4" w:space="0" w:color="auto"/>
              <w:left w:val="nil"/>
              <w:bottom w:val="single" w:sz="4" w:space="0" w:color="auto"/>
              <w:right w:val="nil"/>
            </w:tcBorders>
            <w:shd w:val="clear" w:color="000000" w:fill="FFFFFF"/>
            <w:noWrap/>
            <w:vAlign w:val="center"/>
            <w:hideMark/>
          </w:tcPr>
          <w:p w14:paraId="366AC45E" w14:textId="77777777" w:rsidR="00684C34" w:rsidRPr="006C6043" w:rsidRDefault="00684C34" w:rsidP="00684C34">
            <w:pPr>
              <w:spacing w:after="0" w:line="240" w:lineRule="auto"/>
              <w:ind w:firstLine="0"/>
              <w:jc w:val="left"/>
              <w:rPr>
                <w:rFonts w:ascii="Arial" w:eastAsia="Times New Roman" w:hAnsi="Arial" w:cs="Arial"/>
                <w:color w:val="000000"/>
                <w:sz w:val="20"/>
                <w:szCs w:val="20"/>
                <w:lang w:eastAsia="es-EC"/>
              </w:rPr>
            </w:pPr>
            <w:r w:rsidRPr="006C6043">
              <w:rPr>
                <w:rFonts w:ascii="Arial" w:eastAsia="Times New Roman" w:hAnsi="Arial" w:cs="Arial"/>
                <w:color w:val="000000"/>
                <w:sz w:val="20"/>
                <w:szCs w:val="20"/>
                <w:lang w:eastAsia="es-EC"/>
              </w:rPr>
              <w:t xml:space="preserve">Hogar </w:t>
            </w:r>
          </w:p>
        </w:tc>
        <w:tc>
          <w:tcPr>
            <w:tcW w:w="1445" w:type="dxa"/>
            <w:tcBorders>
              <w:top w:val="single" w:sz="4" w:space="0" w:color="auto"/>
              <w:left w:val="nil"/>
              <w:bottom w:val="single" w:sz="4" w:space="0" w:color="auto"/>
              <w:right w:val="nil"/>
            </w:tcBorders>
            <w:shd w:val="clear" w:color="000000" w:fill="FFFFFF"/>
            <w:noWrap/>
            <w:vAlign w:val="center"/>
          </w:tcPr>
          <w:p w14:paraId="38FC1AB2" w14:textId="47BC1335" w:rsidR="00684C34" w:rsidRPr="006C6043" w:rsidRDefault="00684C34" w:rsidP="00684C34">
            <w:pPr>
              <w:spacing w:after="0" w:line="240" w:lineRule="auto"/>
              <w:ind w:firstLine="0"/>
              <w:jc w:val="center"/>
              <w:rPr>
                <w:rFonts w:ascii="Arial" w:eastAsia="Times New Roman" w:hAnsi="Arial" w:cs="Arial"/>
                <w:color w:val="000000"/>
                <w:sz w:val="20"/>
                <w:szCs w:val="20"/>
                <w:lang w:eastAsia="es-EC"/>
              </w:rPr>
            </w:pPr>
          </w:p>
        </w:tc>
        <w:tc>
          <w:tcPr>
            <w:tcW w:w="1679" w:type="dxa"/>
            <w:tcBorders>
              <w:top w:val="single" w:sz="4" w:space="0" w:color="auto"/>
              <w:left w:val="nil"/>
              <w:bottom w:val="single" w:sz="4" w:space="0" w:color="auto"/>
              <w:right w:val="nil"/>
            </w:tcBorders>
            <w:shd w:val="clear" w:color="000000" w:fill="FFFFFF"/>
            <w:noWrap/>
            <w:vAlign w:val="center"/>
          </w:tcPr>
          <w:p w14:paraId="3A99029E" w14:textId="1DBF1CAE" w:rsidR="00684C34" w:rsidRPr="006C6043" w:rsidRDefault="00684C34" w:rsidP="00684C34">
            <w:pPr>
              <w:spacing w:after="0" w:line="240" w:lineRule="auto"/>
              <w:ind w:firstLine="0"/>
              <w:jc w:val="center"/>
              <w:rPr>
                <w:rFonts w:ascii="Arial" w:eastAsia="Times New Roman" w:hAnsi="Arial" w:cs="Arial"/>
                <w:color w:val="000000"/>
                <w:sz w:val="20"/>
                <w:szCs w:val="20"/>
                <w:lang w:eastAsia="es-EC"/>
              </w:rPr>
            </w:pPr>
          </w:p>
        </w:tc>
        <w:tc>
          <w:tcPr>
            <w:tcW w:w="1445" w:type="dxa"/>
            <w:tcBorders>
              <w:top w:val="single" w:sz="4" w:space="0" w:color="auto"/>
              <w:left w:val="nil"/>
              <w:bottom w:val="single" w:sz="4" w:space="0" w:color="auto"/>
              <w:right w:val="nil"/>
            </w:tcBorders>
            <w:shd w:val="clear" w:color="000000" w:fill="FFFFFF"/>
            <w:vAlign w:val="center"/>
          </w:tcPr>
          <w:p w14:paraId="1B064D14" w14:textId="2E58BFB4" w:rsidR="00684C34" w:rsidRPr="006C6043" w:rsidRDefault="00684C34" w:rsidP="00684C34">
            <w:pPr>
              <w:spacing w:after="0" w:line="240" w:lineRule="auto"/>
              <w:ind w:firstLine="0"/>
              <w:jc w:val="center"/>
              <w:rPr>
                <w:rFonts w:ascii="Arial" w:eastAsia="Times New Roman" w:hAnsi="Arial" w:cs="Arial"/>
                <w:color w:val="000000"/>
                <w:sz w:val="20"/>
                <w:szCs w:val="20"/>
                <w:lang w:eastAsia="es-EC"/>
              </w:rPr>
            </w:pPr>
          </w:p>
        </w:tc>
        <w:tc>
          <w:tcPr>
            <w:tcW w:w="1679" w:type="dxa"/>
            <w:tcBorders>
              <w:top w:val="single" w:sz="4" w:space="0" w:color="auto"/>
              <w:left w:val="nil"/>
              <w:bottom w:val="single" w:sz="4" w:space="0" w:color="auto"/>
              <w:right w:val="nil"/>
            </w:tcBorders>
            <w:shd w:val="clear" w:color="000000" w:fill="FFFFFF"/>
            <w:vAlign w:val="center"/>
          </w:tcPr>
          <w:p w14:paraId="5BC7BE66" w14:textId="4D4D6CEE" w:rsidR="00684C34" w:rsidRPr="006C6043" w:rsidRDefault="00684C34" w:rsidP="00684C34">
            <w:pPr>
              <w:spacing w:after="0" w:line="240" w:lineRule="auto"/>
              <w:ind w:firstLine="0"/>
              <w:jc w:val="center"/>
              <w:rPr>
                <w:rFonts w:ascii="Arial" w:eastAsia="Times New Roman" w:hAnsi="Arial" w:cs="Arial"/>
                <w:color w:val="000000"/>
                <w:sz w:val="20"/>
                <w:szCs w:val="20"/>
                <w:lang w:eastAsia="es-EC"/>
              </w:rPr>
            </w:pPr>
          </w:p>
        </w:tc>
      </w:tr>
      <w:tr w:rsidR="00684C34" w:rsidRPr="006C6043" w14:paraId="4E92F7B7" w14:textId="77777777" w:rsidTr="00920DA1">
        <w:trPr>
          <w:trHeight w:val="303"/>
        </w:trPr>
        <w:tc>
          <w:tcPr>
            <w:tcW w:w="2793" w:type="dxa"/>
            <w:tcBorders>
              <w:top w:val="single" w:sz="4" w:space="0" w:color="auto"/>
              <w:left w:val="nil"/>
              <w:bottom w:val="single" w:sz="4" w:space="0" w:color="auto"/>
              <w:right w:val="nil"/>
            </w:tcBorders>
            <w:shd w:val="clear" w:color="000000" w:fill="FFFFFF"/>
            <w:noWrap/>
            <w:vAlign w:val="center"/>
            <w:hideMark/>
          </w:tcPr>
          <w:p w14:paraId="6AA4A9D4" w14:textId="77777777" w:rsidR="00684C34" w:rsidRPr="006C6043" w:rsidRDefault="00684C34" w:rsidP="00684C34">
            <w:pPr>
              <w:spacing w:after="0" w:line="240" w:lineRule="auto"/>
              <w:ind w:firstLine="0"/>
              <w:jc w:val="left"/>
              <w:rPr>
                <w:rFonts w:ascii="Arial" w:eastAsia="Times New Roman" w:hAnsi="Arial" w:cs="Arial"/>
                <w:color w:val="000000"/>
                <w:sz w:val="20"/>
                <w:szCs w:val="20"/>
                <w:lang w:eastAsia="es-EC"/>
              </w:rPr>
            </w:pPr>
            <w:r w:rsidRPr="006C6043">
              <w:rPr>
                <w:rFonts w:ascii="Arial" w:eastAsia="Times New Roman" w:hAnsi="Arial" w:cs="Arial"/>
                <w:color w:val="000000"/>
                <w:sz w:val="20"/>
                <w:szCs w:val="20"/>
                <w:lang w:eastAsia="es-EC"/>
              </w:rPr>
              <w:t>Entretenimiento</w:t>
            </w:r>
          </w:p>
        </w:tc>
        <w:tc>
          <w:tcPr>
            <w:tcW w:w="1445" w:type="dxa"/>
            <w:tcBorders>
              <w:top w:val="single" w:sz="4" w:space="0" w:color="auto"/>
              <w:left w:val="nil"/>
              <w:bottom w:val="single" w:sz="4" w:space="0" w:color="auto"/>
              <w:right w:val="nil"/>
            </w:tcBorders>
            <w:shd w:val="clear" w:color="000000" w:fill="FFFFFF"/>
            <w:noWrap/>
            <w:vAlign w:val="center"/>
          </w:tcPr>
          <w:p w14:paraId="4A1408CD" w14:textId="3A175E88" w:rsidR="00684C34" w:rsidRPr="006C6043" w:rsidRDefault="00684C34" w:rsidP="00684C34">
            <w:pPr>
              <w:spacing w:after="0" w:line="240" w:lineRule="auto"/>
              <w:ind w:firstLine="0"/>
              <w:jc w:val="center"/>
              <w:rPr>
                <w:rFonts w:ascii="Arial" w:eastAsia="Times New Roman" w:hAnsi="Arial" w:cs="Arial"/>
                <w:color w:val="000000"/>
                <w:sz w:val="20"/>
                <w:szCs w:val="20"/>
                <w:lang w:eastAsia="es-EC"/>
              </w:rPr>
            </w:pPr>
          </w:p>
        </w:tc>
        <w:tc>
          <w:tcPr>
            <w:tcW w:w="1679" w:type="dxa"/>
            <w:tcBorders>
              <w:top w:val="single" w:sz="4" w:space="0" w:color="auto"/>
              <w:left w:val="nil"/>
              <w:bottom w:val="single" w:sz="4" w:space="0" w:color="auto"/>
              <w:right w:val="nil"/>
            </w:tcBorders>
            <w:shd w:val="clear" w:color="000000" w:fill="FFFFFF"/>
            <w:noWrap/>
            <w:vAlign w:val="center"/>
          </w:tcPr>
          <w:p w14:paraId="7DA271B1" w14:textId="70E27109" w:rsidR="00684C34" w:rsidRPr="006C6043" w:rsidRDefault="00684C34" w:rsidP="00684C34">
            <w:pPr>
              <w:spacing w:after="0" w:line="240" w:lineRule="auto"/>
              <w:ind w:firstLine="0"/>
              <w:jc w:val="center"/>
              <w:rPr>
                <w:rFonts w:ascii="Arial" w:eastAsia="Times New Roman" w:hAnsi="Arial" w:cs="Arial"/>
                <w:color w:val="000000"/>
                <w:sz w:val="20"/>
                <w:szCs w:val="20"/>
                <w:lang w:eastAsia="es-EC"/>
              </w:rPr>
            </w:pPr>
          </w:p>
        </w:tc>
        <w:tc>
          <w:tcPr>
            <w:tcW w:w="1445" w:type="dxa"/>
            <w:tcBorders>
              <w:top w:val="single" w:sz="4" w:space="0" w:color="auto"/>
              <w:left w:val="nil"/>
              <w:bottom w:val="single" w:sz="4" w:space="0" w:color="auto"/>
              <w:right w:val="nil"/>
            </w:tcBorders>
            <w:shd w:val="clear" w:color="000000" w:fill="FFFFFF"/>
            <w:vAlign w:val="center"/>
          </w:tcPr>
          <w:p w14:paraId="5BF08F9B" w14:textId="5F418D9C" w:rsidR="00684C34" w:rsidRPr="006C6043" w:rsidRDefault="00684C34" w:rsidP="00684C34">
            <w:pPr>
              <w:spacing w:after="0" w:line="240" w:lineRule="auto"/>
              <w:ind w:firstLine="0"/>
              <w:jc w:val="center"/>
              <w:rPr>
                <w:rFonts w:ascii="Arial" w:eastAsia="Times New Roman" w:hAnsi="Arial" w:cs="Arial"/>
                <w:color w:val="000000"/>
                <w:sz w:val="20"/>
                <w:szCs w:val="20"/>
                <w:lang w:eastAsia="es-EC"/>
              </w:rPr>
            </w:pPr>
          </w:p>
        </w:tc>
        <w:tc>
          <w:tcPr>
            <w:tcW w:w="1679" w:type="dxa"/>
            <w:tcBorders>
              <w:top w:val="single" w:sz="4" w:space="0" w:color="auto"/>
              <w:left w:val="nil"/>
              <w:bottom w:val="single" w:sz="4" w:space="0" w:color="auto"/>
              <w:right w:val="nil"/>
            </w:tcBorders>
            <w:shd w:val="clear" w:color="000000" w:fill="FFFFFF"/>
            <w:vAlign w:val="center"/>
          </w:tcPr>
          <w:p w14:paraId="36C21456" w14:textId="1539A37C" w:rsidR="00684C34" w:rsidRPr="006C6043" w:rsidRDefault="00684C34" w:rsidP="00684C34">
            <w:pPr>
              <w:spacing w:after="0" w:line="240" w:lineRule="auto"/>
              <w:ind w:firstLine="0"/>
              <w:jc w:val="center"/>
              <w:rPr>
                <w:rFonts w:ascii="Arial" w:eastAsia="Times New Roman" w:hAnsi="Arial" w:cs="Arial"/>
                <w:color w:val="000000"/>
                <w:sz w:val="20"/>
                <w:szCs w:val="20"/>
                <w:lang w:eastAsia="es-EC"/>
              </w:rPr>
            </w:pPr>
          </w:p>
        </w:tc>
      </w:tr>
      <w:tr w:rsidR="00684C34" w:rsidRPr="006C6043" w14:paraId="6A1FA9C0" w14:textId="77777777" w:rsidTr="00920DA1">
        <w:trPr>
          <w:trHeight w:val="303"/>
        </w:trPr>
        <w:tc>
          <w:tcPr>
            <w:tcW w:w="2793" w:type="dxa"/>
            <w:tcBorders>
              <w:top w:val="single" w:sz="4" w:space="0" w:color="auto"/>
              <w:left w:val="nil"/>
              <w:bottom w:val="single" w:sz="4" w:space="0" w:color="auto"/>
              <w:right w:val="nil"/>
            </w:tcBorders>
            <w:shd w:val="clear" w:color="000000" w:fill="FFFFFF"/>
            <w:noWrap/>
            <w:vAlign w:val="center"/>
            <w:hideMark/>
          </w:tcPr>
          <w:p w14:paraId="77360477" w14:textId="77777777" w:rsidR="00684C34" w:rsidRPr="006C6043" w:rsidRDefault="00684C34" w:rsidP="00684C34">
            <w:pPr>
              <w:spacing w:after="0" w:line="240" w:lineRule="auto"/>
              <w:ind w:firstLine="0"/>
              <w:jc w:val="left"/>
              <w:rPr>
                <w:rFonts w:ascii="Arial" w:eastAsia="Times New Roman" w:hAnsi="Arial" w:cs="Arial"/>
                <w:color w:val="000000"/>
                <w:sz w:val="20"/>
                <w:szCs w:val="20"/>
                <w:lang w:eastAsia="es-EC"/>
              </w:rPr>
            </w:pPr>
            <w:r w:rsidRPr="006C6043">
              <w:rPr>
                <w:rFonts w:ascii="Arial" w:eastAsia="Times New Roman" w:hAnsi="Arial" w:cs="Arial"/>
                <w:color w:val="000000"/>
                <w:sz w:val="20"/>
                <w:szCs w:val="20"/>
                <w:lang w:eastAsia="es-EC"/>
              </w:rPr>
              <w:t>País / Laboral</w:t>
            </w:r>
          </w:p>
        </w:tc>
        <w:tc>
          <w:tcPr>
            <w:tcW w:w="1445" w:type="dxa"/>
            <w:tcBorders>
              <w:top w:val="single" w:sz="4" w:space="0" w:color="auto"/>
              <w:left w:val="nil"/>
              <w:bottom w:val="single" w:sz="4" w:space="0" w:color="auto"/>
              <w:right w:val="nil"/>
            </w:tcBorders>
            <w:shd w:val="clear" w:color="000000" w:fill="FFFFFF"/>
            <w:noWrap/>
            <w:vAlign w:val="center"/>
          </w:tcPr>
          <w:p w14:paraId="6E563307" w14:textId="1FFCC993" w:rsidR="00684C34" w:rsidRPr="006C6043" w:rsidRDefault="00684C34" w:rsidP="00684C34">
            <w:pPr>
              <w:spacing w:after="0" w:line="240" w:lineRule="auto"/>
              <w:ind w:firstLine="0"/>
              <w:jc w:val="center"/>
              <w:rPr>
                <w:rFonts w:ascii="Arial" w:eastAsia="Times New Roman" w:hAnsi="Arial" w:cs="Arial"/>
                <w:color w:val="000000"/>
                <w:sz w:val="20"/>
                <w:szCs w:val="20"/>
                <w:lang w:eastAsia="es-EC"/>
              </w:rPr>
            </w:pPr>
          </w:p>
        </w:tc>
        <w:tc>
          <w:tcPr>
            <w:tcW w:w="1679" w:type="dxa"/>
            <w:tcBorders>
              <w:top w:val="single" w:sz="4" w:space="0" w:color="auto"/>
              <w:left w:val="nil"/>
              <w:bottom w:val="single" w:sz="4" w:space="0" w:color="auto"/>
              <w:right w:val="nil"/>
            </w:tcBorders>
            <w:shd w:val="clear" w:color="000000" w:fill="FFFFFF"/>
            <w:noWrap/>
            <w:vAlign w:val="center"/>
          </w:tcPr>
          <w:p w14:paraId="7BF07FA9" w14:textId="7318F85C" w:rsidR="00684C34" w:rsidRPr="006C6043" w:rsidRDefault="00684C34" w:rsidP="00684C34">
            <w:pPr>
              <w:spacing w:after="0" w:line="240" w:lineRule="auto"/>
              <w:ind w:firstLine="0"/>
              <w:jc w:val="center"/>
              <w:rPr>
                <w:rFonts w:ascii="Arial" w:eastAsia="Times New Roman" w:hAnsi="Arial" w:cs="Arial"/>
                <w:color w:val="000000"/>
                <w:sz w:val="20"/>
                <w:szCs w:val="20"/>
                <w:lang w:eastAsia="es-EC"/>
              </w:rPr>
            </w:pPr>
          </w:p>
        </w:tc>
        <w:tc>
          <w:tcPr>
            <w:tcW w:w="1445" w:type="dxa"/>
            <w:tcBorders>
              <w:top w:val="single" w:sz="4" w:space="0" w:color="auto"/>
              <w:left w:val="nil"/>
              <w:bottom w:val="single" w:sz="4" w:space="0" w:color="auto"/>
              <w:right w:val="nil"/>
            </w:tcBorders>
            <w:shd w:val="clear" w:color="000000" w:fill="FFFFFF"/>
            <w:vAlign w:val="center"/>
          </w:tcPr>
          <w:p w14:paraId="545E7ACB" w14:textId="60FD5E56" w:rsidR="00684C34" w:rsidRPr="006C6043" w:rsidRDefault="00684C34" w:rsidP="00684C34">
            <w:pPr>
              <w:spacing w:after="0" w:line="240" w:lineRule="auto"/>
              <w:ind w:firstLine="0"/>
              <w:jc w:val="center"/>
              <w:rPr>
                <w:rFonts w:ascii="Arial" w:eastAsia="Times New Roman" w:hAnsi="Arial" w:cs="Arial"/>
                <w:color w:val="000000"/>
                <w:sz w:val="20"/>
                <w:szCs w:val="20"/>
                <w:lang w:eastAsia="es-EC"/>
              </w:rPr>
            </w:pPr>
          </w:p>
        </w:tc>
        <w:tc>
          <w:tcPr>
            <w:tcW w:w="1679" w:type="dxa"/>
            <w:tcBorders>
              <w:top w:val="single" w:sz="4" w:space="0" w:color="auto"/>
              <w:left w:val="nil"/>
              <w:bottom w:val="single" w:sz="4" w:space="0" w:color="auto"/>
              <w:right w:val="nil"/>
            </w:tcBorders>
            <w:shd w:val="clear" w:color="000000" w:fill="FFFFFF"/>
            <w:vAlign w:val="center"/>
          </w:tcPr>
          <w:p w14:paraId="47999616" w14:textId="2D924F6A" w:rsidR="00684C34" w:rsidRPr="006C6043" w:rsidRDefault="00684C34" w:rsidP="00684C34">
            <w:pPr>
              <w:spacing w:after="0" w:line="240" w:lineRule="auto"/>
              <w:ind w:firstLine="0"/>
              <w:jc w:val="center"/>
              <w:rPr>
                <w:rFonts w:ascii="Arial" w:eastAsia="Times New Roman" w:hAnsi="Arial" w:cs="Arial"/>
                <w:color w:val="000000"/>
                <w:sz w:val="20"/>
                <w:szCs w:val="20"/>
                <w:lang w:eastAsia="es-EC"/>
              </w:rPr>
            </w:pPr>
          </w:p>
        </w:tc>
      </w:tr>
      <w:tr w:rsidR="00684C34" w:rsidRPr="006C6043" w14:paraId="015DCE25" w14:textId="77777777" w:rsidTr="00920DA1">
        <w:trPr>
          <w:trHeight w:val="303"/>
        </w:trPr>
        <w:tc>
          <w:tcPr>
            <w:tcW w:w="2793" w:type="dxa"/>
            <w:tcBorders>
              <w:top w:val="single" w:sz="4" w:space="0" w:color="auto"/>
              <w:left w:val="nil"/>
              <w:bottom w:val="single" w:sz="4" w:space="0" w:color="auto"/>
              <w:right w:val="nil"/>
            </w:tcBorders>
            <w:shd w:val="clear" w:color="000000" w:fill="FFFFFF"/>
            <w:noWrap/>
            <w:vAlign w:val="center"/>
            <w:hideMark/>
          </w:tcPr>
          <w:p w14:paraId="5BC009D5" w14:textId="77777777" w:rsidR="00684C34" w:rsidRPr="006C6043" w:rsidRDefault="00684C34" w:rsidP="00684C34">
            <w:pPr>
              <w:spacing w:after="0" w:line="240" w:lineRule="auto"/>
              <w:ind w:firstLine="0"/>
              <w:jc w:val="left"/>
              <w:rPr>
                <w:rFonts w:ascii="Arial" w:eastAsia="Times New Roman" w:hAnsi="Arial" w:cs="Arial"/>
                <w:color w:val="000000"/>
                <w:sz w:val="20"/>
                <w:szCs w:val="20"/>
                <w:lang w:eastAsia="es-EC"/>
              </w:rPr>
            </w:pPr>
            <w:r w:rsidRPr="006C6043">
              <w:rPr>
                <w:rFonts w:ascii="Arial" w:eastAsia="Times New Roman" w:hAnsi="Arial" w:cs="Arial"/>
                <w:color w:val="000000"/>
                <w:sz w:val="20"/>
                <w:szCs w:val="20"/>
                <w:lang w:eastAsia="es-EC"/>
              </w:rPr>
              <w:t xml:space="preserve">Alimentos </w:t>
            </w:r>
          </w:p>
        </w:tc>
        <w:tc>
          <w:tcPr>
            <w:tcW w:w="1445" w:type="dxa"/>
            <w:tcBorders>
              <w:top w:val="single" w:sz="4" w:space="0" w:color="auto"/>
              <w:left w:val="nil"/>
              <w:bottom w:val="single" w:sz="4" w:space="0" w:color="auto"/>
              <w:right w:val="nil"/>
            </w:tcBorders>
            <w:shd w:val="clear" w:color="000000" w:fill="FFFFFF"/>
            <w:noWrap/>
            <w:vAlign w:val="center"/>
          </w:tcPr>
          <w:p w14:paraId="71461D79" w14:textId="377A7548" w:rsidR="00684C34" w:rsidRPr="006C6043" w:rsidRDefault="00684C34" w:rsidP="00684C34">
            <w:pPr>
              <w:spacing w:after="0" w:line="240" w:lineRule="auto"/>
              <w:ind w:firstLine="0"/>
              <w:jc w:val="center"/>
              <w:rPr>
                <w:rFonts w:ascii="Arial" w:eastAsia="Times New Roman" w:hAnsi="Arial" w:cs="Arial"/>
                <w:color w:val="000000"/>
                <w:sz w:val="20"/>
                <w:szCs w:val="20"/>
                <w:lang w:eastAsia="es-EC"/>
              </w:rPr>
            </w:pPr>
          </w:p>
        </w:tc>
        <w:tc>
          <w:tcPr>
            <w:tcW w:w="1679" w:type="dxa"/>
            <w:tcBorders>
              <w:top w:val="single" w:sz="4" w:space="0" w:color="auto"/>
              <w:left w:val="nil"/>
              <w:bottom w:val="single" w:sz="4" w:space="0" w:color="auto"/>
              <w:right w:val="nil"/>
            </w:tcBorders>
            <w:shd w:val="clear" w:color="000000" w:fill="FFFFFF"/>
            <w:noWrap/>
            <w:vAlign w:val="center"/>
          </w:tcPr>
          <w:p w14:paraId="29E596C8" w14:textId="371EE66B" w:rsidR="00684C34" w:rsidRPr="006C6043" w:rsidRDefault="00684C34" w:rsidP="00684C34">
            <w:pPr>
              <w:spacing w:after="0" w:line="240" w:lineRule="auto"/>
              <w:ind w:firstLine="0"/>
              <w:jc w:val="center"/>
              <w:rPr>
                <w:rFonts w:ascii="Arial" w:eastAsia="Times New Roman" w:hAnsi="Arial" w:cs="Arial"/>
                <w:color w:val="000000"/>
                <w:sz w:val="20"/>
                <w:szCs w:val="20"/>
                <w:lang w:eastAsia="es-EC"/>
              </w:rPr>
            </w:pPr>
          </w:p>
        </w:tc>
        <w:tc>
          <w:tcPr>
            <w:tcW w:w="1445" w:type="dxa"/>
            <w:tcBorders>
              <w:top w:val="single" w:sz="4" w:space="0" w:color="auto"/>
              <w:left w:val="nil"/>
              <w:bottom w:val="single" w:sz="4" w:space="0" w:color="auto"/>
              <w:right w:val="nil"/>
            </w:tcBorders>
            <w:shd w:val="clear" w:color="000000" w:fill="FFFFFF"/>
            <w:vAlign w:val="center"/>
          </w:tcPr>
          <w:p w14:paraId="67D638D1" w14:textId="560FCC56" w:rsidR="00684C34" w:rsidRPr="006C6043" w:rsidRDefault="00684C34" w:rsidP="00684C34">
            <w:pPr>
              <w:spacing w:after="0" w:line="240" w:lineRule="auto"/>
              <w:ind w:firstLine="0"/>
              <w:jc w:val="center"/>
              <w:rPr>
                <w:rFonts w:ascii="Arial" w:eastAsia="Times New Roman" w:hAnsi="Arial" w:cs="Arial"/>
                <w:color w:val="000000"/>
                <w:sz w:val="20"/>
                <w:szCs w:val="20"/>
                <w:lang w:eastAsia="es-EC"/>
              </w:rPr>
            </w:pPr>
          </w:p>
        </w:tc>
        <w:tc>
          <w:tcPr>
            <w:tcW w:w="1679" w:type="dxa"/>
            <w:tcBorders>
              <w:top w:val="single" w:sz="4" w:space="0" w:color="auto"/>
              <w:left w:val="nil"/>
              <w:bottom w:val="single" w:sz="4" w:space="0" w:color="auto"/>
              <w:right w:val="nil"/>
            </w:tcBorders>
            <w:shd w:val="clear" w:color="000000" w:fill="FFFFFF"/>
            <w:vAlign w:val="center"/>
          </w:tcPr>
          <w:p w14:paraId="204E92AE" w14:textId="3FCDD276" w:rsidR="00684C34" w:rsidRPr="006C6043" w:rsidRDefault="00684C34" w:rsidP="00684C34">
            <w:pPr>
              <w:spacing w:after="0" w:line="240" w:lineRule="auto"/>
              <w:ind w:firstLine="0"/>
              <w:jc w:val="center"/>
              <w:rPr>
                <w:rFonts w:ascii="Arial" w:eastAsia="Times New Roman" w:hAnsi="Arial" w:cs="Arial"/>
                <w:color w:val="000000"/>
                <w:sz w:val="20"/>
                <w:szCs w:val="20"/>
                <w:lang w:eastAsia="es-EC"/>
              </w:rPr>
            </w:pPr>
          </w:p>
        </w:tc>
      </w:tr>
      <w:tr w:rsidR="00684C34" w:rsidRPr="006C6043" w14:paraId="14804B1D" w14:textId="77777777" w:rsidTr="00920DA1">
        <w:trPr>
          <w:trHeight w:val="303"/>
        </w:trPr>
        <w:tc>
          <w:tcPr>
            <w:tcW w:w="2793" w:type="dxa"/>
            <w:tcBorders>
              <w:top w:val="single" w:sz="4" w:space="0" w:color="auto"/>
              <w:left w:val="nil"/>
              <w:bottom w:val="single" w:sz="4" w:space="0" w:color="auto"/>
              <w:right w:val="nil"/>
            </w:tcBorders>
            <w:shd w:val="clear" w:color="000000" w:fill="FFFFFF"/>
            <w:noWrap/>
            <w:vAlign w:val="center"/>
            <w:hideMark/>
          </w:tcPr>
          <w:p w14:paraId="06BA0603" w14:textId="77777777" w:rsidR="00684C34" w:rsidRPr="006C6043" w:rsidRDefault="00684C34" w:rsidP="00684C34">
            <w:pPr>
              <w:spacing w:after="0" w:line="240" w:lineRule="auto"/>
              <w:ind w:firstLine="0"/>
              <w:jc w:val="left"/>
              <w:rPr>
                <w:rFonts w:ascii="Arial" w:eastAsia="Times New Roman" w:hAnsi="Arial" w:cs="Arial"/>
                <w:color w:val="000000"/>
                <w:sz w:val="20"/>
                <w:szCs w:val="20"/>
                <w:lang w:eastAsia="es-EC"/>
              </w:rPr>
            </w:pPr>
            <w:r w:rsidRPr="006C6043">
              <w:rPr>
                <w:rFonts w:ascii="Arial" w:eastAsia="Times New Roman" w:hAnsi="Arial" w:cs="Arial"/>
                <w:color w:val="000000"/>
                <w:sz w:val="20"/>
                <w:szCs w:val="20"/>
                <w:lang w:eastAsia="es-EC"/>
              </w:rPr>
              <w:t>Gastos no periódicos</w:t>
            </w:r>
          </w:p>
        </w:tc>
        <w:tc>
          <w:tcPr>
            <w:tcW w:w="1445" w:type="dxa"/>
            <w:tcBorders>
              <w:top w:val="single" w:sz="4" w:space="0" w:color="auto"/>
              <w:left w:val="nil"/>
              <w:bottom w:val="single" w:sz="4" w:space="0" w:color="auto"/>
              <w:right w:val="nil"/>
            </w:tcBorders>
            <w:shd w:val="clear" w:color="000000" w:fill="FFFFFF"/>
            <w:noWrap/>
            <w:vAlign w:val="center"/>
          </w:tcPr>
          <w:p w14:paraId="298546C8" w14:textId="44BC9E89" w:rsidR="00684C34" w:rsidRPr="006C6043" w:rsidRDefault="00684C34" w:rsidP="00684C34">
            <w:pPr>
              <w:spacing w:after="0" w:line="240" w:lineRule="auto"/>
              <w:ind w:firstLine="0"/>
              <w:jc w:val="center"/>
              <w:rPr>
                <w:rFonts w:ascii="Arial" w:eastAsia="Times New Roman" w:hAnsi="Arial" w:cs="Arial"/>
                <w:color w:val="000000"/>
                <w:sz w:val="20"/>
                <w:szCs w:val="20"/>
                <w:lang w:eastAsia="es-EC"/>
              </w:rPr>
            </w:pPr>
          </w:p>
        </w:tc>
        <w:tc>
          <w:tcPr>
            <w:tcW w:w="1679" w:type="dxa"/>
            <w:tcBorders>
              <w:top w:val="single" w:sz="4" w:space="0" w:color="auto"/>
              <w:left w:val="nil"/>
              <w:bottom w:val="single" w:sz="4" w:space="0" w:color="auto"/>
              <w:right w:val="nil"/>
            </w:tcBorders>
            <w:shd w:val="clear" w:color="000000" w:fill="FFFFFF"/>
            <w:noWrap/>
            <w:vAlign w:val="center"/>
          </w:tcPr>
          <w:p w14:paraId="78F933A4" w14:textId="4AD0BBAC" w:rsidR="00684C34" w:rsidRPr="006C6043" w:rsidRDefault="00684C34" w:rsidP="00684C34">
            <w:pPr>
              <w:spacing w:after="0" w:line="240" w:lineRule="auto"/>
              <w:ind w:firstLine="0"/>
              <w:jc w:val="center"/>
              <w:rPr>
                <w:rFonts w:ascii="Arial" w:eastAsia="Times New Roman" w:hAnsi="Arial" w:cs="Arial"/>
                <w:color w:val="000000"/>
                <w:sz w:val="20"/>
                <w:szCs w:val="20"/>
                <w:lang w:eastAsia="es-EC"/>
              </w:rPr>
            </w:pPr>
          </w:p>
        </w:tc>
        <w:tc>
          <w:tcPr>
            <w:tcW w:w="1445" w:type="dxa"/>
            <w:tcBorders>
              <w:top w:val="single" w:sz="4" w:space="0" w:color="auto"/>
              <w:left w:val="nil"/>
              <w:bottom w:val="single" w:sz="4" w:space="0" w:color="auto"/>
              <w:right w:val="nil"/>
            </w:tcBorders>
            <w:shd w:val="clear" w:color="000000" w:fill="FFFFFF"/>
            <w:vAlign w:val="center"/>
          </w:tcPr>
          <w:p w14:paraId="0B3F1FFE" w14:textId="36BEA51B" w:rsidR="00684C34" w:rsidRPr="006C6043" w:rsidRDefault="00684C34" w:rsidP="00684C34">
            <w:pPr>
              <w:spacing w:after="0" w:line="240" w:lineRule="auto"/>
              <w:ind w:firstLine="0"/>
              <w:jc w:val="center"/>
              <w:rPr>
                <w:rFonts w:ascii="Arial" w:eastAsia="Times New Roman" w:hAnsi="Arial" w:cs="Arial"/>
                <w:color w:val="000000"/>
                <w:sz w:val="20"/>
                <w:szCs w:val="20"/>
                <w:lang w:eastAsia="es-EC"/>
              </w:rPr>
            </w:pPr>
          </w:p>
        </w:tc>
        <w:tc>
          <w:tcPr>
            <w:tcW w:w="1679" w:type="dxa"/>
            <w:tcBorders>
              <w:top w:val="single" w:sz="4" w:space="0" w:color="auto"/>
              <w:left w:val="nil"/>
              <w:bottom w:val="single" w:sz="4" w:space="0" w:color="auto"/>
              <w:right w:val="nil"/>
            </w:tcBorders>
            <w:shd w:val="clear" w:color="000000" w:fill="FFFFFF"/>
            <w:vAlign w:val="center"/>
          </w:tcPr>
          <w:p w14:paraId="0FBB0375" w14:textId="6FF21FE6" w:rsidR="00684C34" w:rsidRPr="006C6043" w:rsidRDefault="00684C34" w:rsidP="00684C34">
            <w:pPr>
              <w:spacing w:after="0" w:line="240" w:lineRule="auto"/>
              <w:ind w:firstLine="0"/>
              <w:jc w:val="center"/>
              <w:rPr>
                <w:rFonts w:ascii="Arial" w:eastAsia="Times New Roman" w:hAnsi="Arial" w:cs="Arial"/>
                <w:color w:val="000000"/>
                <w:sz w:val="20"/>
                <w:szCs w:val="20"/>
                <w:lang w:eastAsia="es-EC"/>
              </w:rPr>
            </w:pPr>
          </w:p>
        </w:tc>
      </w:tr>
      <w:tr w:rsidR="00684C34" w:rsidRPr="006C6043" w14:paraId="14AB428B" w14:textId="77777777" w:rsidTr="00920DA1">
        <w:trPr>
          <w:trHeight w:val="544"/>
        </w:trPr>
        <w:tc>
          <w:tcPr>
            <w:tcW w:w="2793" w:type="dxa"/>
            <w:tcBorders>
              <w:top w:val="single" w:sz="4" w:space="0" w:color="auto"/>
              <w:left w:val="nil"/>
              <w:bottom w:val="single" w:sz="4" w:space="0" w:color="auto"/>
              <w:right w:val="nil"/>
            </w:tcBorders>
            <w:shd w:val="clear" w:color="000000" w:fill="FFFFFF"/>
            <w:noWrap/>
            <w:vAlign w:val="center"/>
            <w:hideMark/>
          </w:tcPr>
          <w:p w14:paraId="18CE6670" w14:textId="045B310F" w:rsidR="00684C34" w:rsidRPr="00840054" w:rsidRDefault="00684C34" w:rsidP="00684C34">
            <w:pPr>
              <w:spacing w:after="0" w:line="240" w:lineRule="auto"/>
              <w:ind w:firstLine="0"/>
              <w:jc w:val="left"/>
              <w:rPr>
                <w:rFonts w:ascii="Arial" w:eastAsia="Times New Roman" w:hAnsi="Arial" w:cs="Arial"/>
                <w:b/>
                <w:bCs/>
                <w:color w:val="000000"/>
                <w:sz w:val="20"/>
                <w:szCs w:val="20"/>
                <w:lang w:eastAsia="es-EC"/>
              </w:rPr>
            </w:pPr>
            <w:r w:rsidRPr="00840054">
              <w:rPr>
                <w:rFonts w:ascii="Arial" w:eastAsia="Times New Roman" w:hAnsi="Arial" w:cs="Arial"/>
                <w:b/>
                <w:bCs/>
                <w:color w:val="000000"/>
                <w:sz w:val="20"/>
                <w:szCs w:val="20"/>
                <w:lang w:eastAsia="es-EC"/>
              </w:rPr>
              <w:t>Índice</w:t>
            </w:r>
            <w:r w:rsidR="009342E4" w:rsidRPr="00840054">
              <w:rPr>
                <w:rFonts w:ascii="Arial" w:eastAsia="Times New Roman" w:hAnsi="Arial" w:cs="Arial"/>
                <w:b/>
                <w:bCs/>
                <w:color w:val="000000"/>
                <w:sz w:val="20"/>
                <w:szCs w:val="20"/>
                <w:lang w:eastAsia="es-EC"/>
              </w:rPr>
              <w:t xml:space="preserve"> de la situación </w:t>
            </w:r>
            <w:r w:rsidR="003D42F4" w:rsidRPr="00840054">
              <w:rPr>
                <w:rFonts w:ascii="Arial" w:eastAsia="Times New Roman" w:hAnsi="Arial" w:cs="Arial"/>
                <w:b/>
                <w:bCs/>
                <w:color w:val="000000"/>
                <w:sz w:val="20"/>
                <w:szCs w:val="20"/>
                <w:lang w:eastAsia="es-EC"/>
              </w:rPr>
              <w:t>presente y expectativas futuras</w:t>
            </w:r>
          </w:p>
        </w:tc>
        <w:tc>
          <w:tcPr>
            <w:tcW w:w="1445" w:type="dxa"/>
            <w:tcBorders>
              <w:top w:val="single" w:sz="4" w:space="0" w:color="auto"/>
              <w:left w:val="nil"/>
              <w:bottom w:val="single" w:sz="4" w:space="0" w:color="auto"/>
              <w:right w:val="nil"/>
            </w:tcBorders>
            <w:shd w:val="clear" w:color="000000" w:fill="FFFFFF"/>
            <w:noWrap/>
            <w:vAlign w:val="center"/>
          </w:tcPr>
          <w:p w14:paraId="413C946E" w14:textId="395A7E5E" w:rsidR="00684C34" w:rsidRPr="00840054" w:rsidRDefault="00684C34" w:rsidP="00684C34">
            <w:pPr>
              <w:spacing w:after="0" w:line="240" w:lineRule="auto"/>
              <w:ind w:firstLine="0"/>
              <w:jc w:val="center"/>
              <w:rPr>
                <w:rFonts w:ascii="Arial" w:eastAsia="Times New Roman" w:hAnsi="Arial" w:cs="Arial"/>
                <w:b/>
                <w:bCs/>
                <w:color w:val="000000"/>
                <w:sz w:val="20"/>
                <w:szCs w:val="20"/>
                <w:lang w:eastAsia="es-EC"/>
              </w:rPr>
            </w:pPr>
          </w:p>
        </w:tc>
        <w:tc>
          <w:tcPr>
            <w:tcW w:w="1679" w:type="dxa"/>
            <w:tcBorders>
              <w:top w:val="single" w:sz="4" w:space="0" w:color="auto"/>
              <w:left w:val="nil"/>
              <w:bottom w:val="single" w:sz="4" w:space="0" w:color="auto"/>
              <w:right w:val="nil"/>
            </w:tcBorders>
            <w:shd w:val="clear" w:color="000000" w:fill="FFFFFF"/>
            <w:noWrap/>
            <w:vAlign w:val="center"/>
          </w:tcPr>
          <w:p w14:paraId="4C170D36" w14:textId="20C17963" w:rsidR="00684C34" w:rsidRPr="00840054" w:rsidRDefault="00684C34" w:rsidP="00684C34">
            <w:pPr>
              <w:spacing w:after="0" w:line="240" w:lineRule="auto"/>
              <w:ind w:firstLine="0"/>
              <w:jc w:val="center"/>
              <w:rPr>
                <w:rFonts w:ascii="Arial" w:eastAsia="Times New Roman" w:hAnsi="Arial" w:cs="Arial"/>
                <w:b/>
                <w:bCs/>
                <w:color w:val="000000"/>
                <w:sz w:val="20"/>
                <w:szCs w:val="20"/>
                <w:lang w:eastAsia="es-EC"/>
              </w:rPr>
            </w:pPr>
          </w:p>
        </w:tc>
        <w:tc>
          <w:tcPr>
            <w:tcW w:w="1445" w:type="dxa"/>
            <w:tcBorders>
              <w:top w:val="single" w:sz="4" w:space="0" w:color="auto"/>
              <w:left w:val="nil"/>
              <w:bottom w:val="single" w:sz="4" w:space="0" w:color="auto"/>
              <w:right w:val="nil"/>
            </w:tcBorders>
            <w:shd w:val="clear" w:color="000000" w:fill="FFFFFF"/>
            <w:vAlign w:val="center"/>
          </w:tcPr>
          <w:p w14:paraId="2B62B4DF" w14:textId="037453DA" w:rsidR="00684C34" w:rsidRPr="00840054" w:rsidRDefault="00684C34" w:rsidP="00684C34">
            <w:pPr>
              <w:spacing w:after="0" w:line="240" w:lineRule="auto"/>
              <w:ind w:firstLine="0"/>
              <w:jc w:val="center"/>
              <w:rPr>
                <w:rFonts w:ascii="Arial" w:eastAsia="Times New Roman" w:hAnsi="Arial" w:cs="Arial"/>
                <w:b/>
                <w:bCs/>
                <w:color w:val="000000"/>
                <w:sz w:val="20"/>
                <w:szCs w:val="20"/>
                <w:lang w:eastAsia="es-EC"/>
              </w:rPr>
            </w:pPr>
          </w:p>
        </w:tc>
        <w:tc>
          <w:tcPr>
            <w:tcW w:w="1679" w:type="dxa"/>
            <w:tcBorders>
              <w:top w:val="single" w:sz="4" w:space="0" w:color="auto"/>
              <w:left w:val="nil"/>
              <w:bottom w:val="single" w:sz="4" w:space="0" w:color="auto"/>
              <w:right w:val="nil"/>
            </w:tcBorders>
            <w:shd w:val="clear" w:color="000000" w:fill="FFFFFF"/>
            <w:vAlign w:val="center"/>
          </w:tcPr>
          <w:p w14:paraId="04C1AA34" w14:textId="131ABA93" w:rsidR="00684C34" w:rsidRPr="00840054" w:rsidRDefault="00684C34" w:rsidP="00684C34">
            <w:pPr>
              <w:spacing w:after="0" w:line="240" w:lineRule="auto"/>
              <w:ind w:firstLine="0"/>
              <w:jc w:val="center"/>
              <w:rPr>
                <w:rFonts w:ascii="Arial" w:eastAsia="Times New Roman" w:hAnsi="Arial" w:cs="Arial"/>
                <w:b/>
                <w:bCs/>
                <w:color w:val="000000"/>
                <w:sz w:val="20"/>
                <w:szCs w:val="20"/>
                <w:lang w:eastAsia="es-EC"/>
              </w:rPr>
            </w:pPr>
          </w:p>
        </w:tc>
      </w:tr>
      <w:tr w:rsidR="00684C34" w:rsidRPr="006C6043" w14:paraId="32021324" w14:textId="77777777" w:rsidTr="00920DA1">
        <w:trPr>
          <w:trHeight w:val="319"/>
        </w:trPr>
        <w:tc>
          <w:tcPr>
            <w:tcW w:w="2793" w:type="dxa"/>
            <w:tcBorders>
              <w:top w:val="single" w:sz="4" w:space="0" w:color="auto"/>
              <w:left w:val="nil"/>
              <w:bottom w:val="single" w:sz="4" w:space="0" w:color="auto"/>
              <w:right w:val="nil"/>
            </w:tcBorders>
            <w:shd w:val="clear" w:color="000000" w:fill="FFFFFF"/>
            <w:noWrap/>
            <w:vAlign w:val="center"/>
            <w:hideMark/>
          </w:tcPr>
          <w:p w14:paraId="09248413" w14:textId="77777777" w:rsidR="00684C34" w:rsidRPr="00840054" w:rsidRDefault="00684C34" w:rsidP="00684C34">
            <w:pPr>
              <w:spacing w:after="0" w:line="240" w:lineRule="auto"/>
              <w:ind w:firstLine="0"/>
              <w:jc w:val="left"/>
              <w:rPr>
                <w:rFonts w:ascii="Arial" w:eastAsia="Times New Roman" w:hAnsi="Arial" w:cs="Arial"/>
                <w:b/>
                <w:bCs/>
                <w:color w:val="000000"/>
                <w:sz w:val="20"/>
                <w:szCs w:val="20"/>
                <w:lang w:eastAsia="es-EC"/>
              </w:rPr>
            </w:pPr>
            <w:r w:rsidRPr="00840054">
              <w:rPr>
                <w:rFonts w:ascii="Arial" w:eastAsia="Times New Roman" w:hAnsi="Arial" w:cs="Arial"/>
                <w:b/>
                <w:bCs/>
                <w:color w:val="000000"/>
                <w:sz w:val="20"/>
                <w:szCs w:val="20"/>
                <w:lang w:eastAsia="es-EC"/>
              </w:rPr>
              <w:t>Índice general</w:t>
            </w:r>
          </w:p>
        </w:tc>
        <w:tc>
          <w:tcPr>
            <w:tcW w:w="3124" w:type="dxa"/>
            <w:gridSpan w:val="2"/>
            <w:tcBorders>
              <w:top w:val="single" w:sz="4" w:space="0" w:color="auto"/>
              <w:left w:val="nil"/>
              <w:bottom w:val="single" w:sz="4" w:space="0" w:color="auto"/>
              <w:right w:val="nil"/>
            </w:tcBorders>
            <w:shd w:val="clear" w:color="000000" w:fill="FFFFFF"/>
            <w:noWrap/>
            <w:vAlign w:val="center"/>
          </w:tcPr>
          <w:p w14:paraId="58EB7B82" w14:textId="4A43D6B5" w:rsidR="00684C34" w:rsidRPr="00840054" w:rsidRDefault="00684C34" w:rsidP="00684C34">
            <w:pPr>
              <w:spacing w:after="0" w:line="240" w:lineRule="auto"/>
              <w:ind w:firstLine="0"/>
              <w:jc w:val="center"/>
              <w:rPr>
                <w:rFonts w:ascii="Arial" w:eastAsia="Times New Roman" w:hAnsi="Arial" w:cs="Arial"/>
                <w:b/>
                <w:bCs/>
                <w:color w:val="000000"/>
                <w:sz w:val="20"/>
                <w:szCs w:val="20"/>
                <w:lang w:eastAsia="es-EC"/>
              </w:rPr>
            </w:pPr>
          </w:p>
        </w:tc>
        <w:tc>
          <w:tcPr>
            <w:tcW w:w="3124" w:type="dxa"/>
            <w:gridSpan w:val="2"/>
            <w:tcBorders>
              <w:top w:val="single" w:sz="4" w:space="0" w:color="auto"/>
              <w:left w:val="nil"/>
              <w:bottom w:val="single" w:sz="4" w:space="0" w:color="auto"/>
              <w:right w:val="nil"/>
            </w:tcBorders>
            <w:shd w:val="clear" w:color="000000" w:fill="FFFFFF"/>
            <w:vAlign w:val="center"/>
          </w:tcPr>
          <w:p w14:paraId="5CEE0351" w14:textId="5FAEA6DA" w:rsidR="00684C34" w:rsidRPr="00840054" w:rsidRDefault="00684C34" w:rsidP="00684C34">
            <w:pPr>
              <w:spacing w:after="0" w:line="240" w:lineRule="auto"/>
              <w:ind w:firstLine="0"/>
              <w:jc w:val="center"/>
              <w:rPr>
                <w:rFonts w:ascii="Arial" w:eastAsia="Times New Roman" w:hAnsi="Arial" w:cs="Arial"/>
                <w:b/>
                <w:bCs/>
                <w:color w:val="000000"/>
                <w:sz w:val="20"/>
                <w:szCs w:val="20"/>
                <w:lang w:eastAsia="es-EC"/>
              </w:rPr>
            </w:pPr>
          </w:p>
        </w:tc>
      </w:tr>
    </w:tbl>
    <w:p w14:paraId="755980BE" w14:textId="77777777" w:rsidR="00684C34" w:rsidRPr="006C6043" w:rsidRDefault="00684C34" w:rsidP="00A2674F">
      <w:pPr>
        <w:tabs>
          <w:tab w:val="left" w:pos="142"/>
        </w:tabs>
        <w:spacing w:after="0" w:line="240" w:lineRule="auto"/>
        <w:ind w:firstLine="0"/>
        <w:rPr>
          <w:rFonts w:ascii="Arial" w:hAnsi="Arial" w:cs="Arial"/>
          <w:b/>
          <w:bCs/>
          <w:sz w:val="20"/>
          <w:szCs w:val="20"/>
          <w:lang w:val="es-ES"/>
        </w:rPr>
      </w:pPr>
    </w:p>
    <w:p w14:paraId="31C85164" w14:textId="50A56B5A" w:rsidR="00CA0A4B" w:rsidRPr="006C6043" w:rsidRDefault="00877FF1" w:rsidP="00A2674F">
      <w:pPr>
        <w:tabs>
          <w:tab w:val="left" w:pos="142"/>
        </w:tabs>
        <w:spacing w:after="0" w:line="240" w:lineRule="auto"/>
        <w:ind w:firstLine="0"/>
        <w:rPr>
          <w:rFonts w:ascii="Arial" w:hAnsi="Arial" w:cs="Arial"/>
          <w:sz w:val="20"/>
          <w:szCs w:val="20"/>
          <w:lang w:val="es-ES"/>
        </w:rPr>
      </w:pPr>
      <w:r w:rsidRPr="006C6043">
        <w:rPr>
          <w:rFonts w:ascii="Arial" w:hAnsi="Arial" w:cs="Arial"/>
          <w:b/>
          <w:bCs/>
          <w:sz w:val="20"/>
          <w:szCs w:val="20"/>
          <w:lang w:val="es-ES"/>
        </w:rPr>
        <w:t xml:space="preserve">Fuente: </w:t>
      </w:r>
      <w:r w:rsidR="00424B55" w:rsidRPr="006C6043">
        <w:rPr>
          <w:rFonts w:ascii="Arial" w:hAnsi="Arial" w:cs="Arial"/>
          <w:sz w:val="20"/>
          <w:szCs w:val="20"/>
          <w:lang w:val="es-ES"/>
        </w:rPr>
        <w:t>c</w:t>
      </w:r>
      <w:r w:rsidRPr="006C6043">
        <w:rPr>
          <w:rFonts w:ascii="Arial" w:hAnsi="Arial" w:cs="Arial"/>
          <w:sz w:val="20"/>
          <w:szCs w:val="20"/>
          <w:lang w:val="es-ES"/>
        </w:rPr>
        <w:t xml:space="preserve">álculos propios con base </w:t>
      </w:r>
      <w:r w:rsidR="0077688A" w:rsidRPr="006C6043">
        <w:rPr>
          <w:rFonts w:ascii="Arial" w:hAnsi="Arial" w:cs="Arial"/>
          <w:sz w:val="20"/>
          <w:szCs w:val="20"/>
          <w:lang w:val="es-ES"/>
        </w:rPr>
        <w:t>en</w:t>
      </w:r>
      <w:r w:rsidRPr="006C6043">
        <w:rPr>
          <w:rFonts w:ascii="Arial" w:hAnsi="Arial" w:cs="Arial"/>
          <w:sz w:val="20"/>
          <w:szCs w:val="20"/>
          <w:lang w:val="es-ES"/>
        </w:rPr>
        <w:t xml:space="preserve"> las encuestas realizadas en </w:t>
      </w:r>
      <w:r w:rsidR="006E2BD1" w:rsidRPr="006C6043">
        <w:rPr>
          <w:rFonts w:ascii="Arial" w:hAnsi="Arial" w:cs="Arial"/>
          <w:sz w:val="20"/>
          <w:szCs w:val="20"/>
          <w:lang w:val="es-ES"/>
        </w:rPr>
        <w:t>noviembre</w:t>
      </w:r>
      <w:r w:rsidRPr="006C6043">
        <w:rPr>
          <w:rFonts w:ascii="Arial" w:hAnsi="Arial" w:cs="Arial"/>
          <w:sz w:val="20"/>
          <w:szCs w:val="20"/>
          <w:lang w:val="es-ES"/>
        </w:rPr>
        <w:t xml:space="preserve"> 202</w:t>
      </w:r>
      <w:r w:rsidR="007C7F43" w:rsidRPr="006C6043">
        <w:rPr>
          <w:rFonts w:ascii="Arial" w:hAnsi="Arial" w:cs="Arial"/>
          <w:sz w:val="20"/>
          <w:szCs w:val="20"/>
          <w:lang w:val="es-ES"/>
        </w:rPr>
        <w:t>4.</w:t>
      </w:r>
    </w:p>
    <w:p w14:paraId="2DC3A292" w14:textId="77777777" w:rsidR="00585708" w:rsidRPr="006C6043" w:rsidRDefault="00585708" w:rsidP="00C81D7C">
      <w:pPr>
        <w:pStyle w:val="Sinespaciado"/>
        <w:ind w:firstLine="0"/>
        <w:rPr>
          <w:rFonts w:ascii="Arial" w:hAnsi="Arial" w:cs="Arial"/>
        </w:rPr>
      </w:pPr>
    </w:p>
    <w:p w14:paraId="54AA880B" w14:textId="6E683AB2" w:rsidR="007B0B0B" w:rsidRPr="00FF39F0" w:rsidRDefault="00CA0A4B" w:rsidP="005D1F78">
      <w:pPr>
        <w:spacing w:line="240" w:lineRule="auto"/>
        <w:ind w:firstLine="0"/>
        <w:rPr>
          <w:rFonts w:ascii="Arial" w:hAnsi="Arial" w:cs="Arial"/>
          <w:color w:val="EE0000"/>
          <w:sz w:val="22"/>
          <w:szCs w:val="20"/>
          <w:lang w:val="es-ES"/>
        </w:rPr>
      </w:pPr>
      <w:r w:rsidRPr="00FF39F0">
        <w:rPr>
          <w:rFonts w:ascii="Arial" w:hAnsi="Arial" w:cs="Arial"/>
          <w:color w:val="EE0000"/>
          <w:sz w:val="22"/>
          <w:szCs w:val="20"/>
          <w:lang w:val="es-ES"/>
        </w:rPr>
        <w:t>E</w:t>
      </w:r>
      <w:r w:rsidR="001E2A4F" w:rsidRPr="00FF39F0">
        <w:rPr>
          <w:rFonts w:ascii="Arial" w:hAnsi="Arial" w:cs="Arial"/>
          <w:color w:val="EE0000"/>
          <w:sz w:val="22"/>
          <w:szCs w:val="20"/>
          <w:lang w:val="es-ES"/>
        </w:rPr>
        <w:t xml:space="preserve">l Índice de </w:t>
      </w:r>
      <w:r w:rsidR="007D6653" w:rsidRPr="00FF39F0">
        <w:rPr>
          <w:rFonts w:ascii="Arial" w:hAnsi="Arial" w:cs="Arial"/>
          <w:color w:val="EE0000"/>
          <w:sz w:val="22"/>
          <w:szCs w:val="20"/>
          <w:lang w:val="es-ES"/>
        </w:rPr>
        <w:t>C</w:t>
      </w:r>
      <w:r w:rsidR="001E2A4F" w:rsidRPr="00FF39F0">
        <w:rPr>
          <w:rFonts w:ascii="Arial" w:hAnsi="Arial" w:cs="Arial"/>
          <w:color w:val="EE0000"/>
          <w:sz w:val="22"/>
          <w:szCs w:val="20"/>
          <w:lang w:val="es-ES"/>
        </w:rPr>
        <w:t>onfianza del Consumidor de la</w:t>
      </w:r>
      <w:r w:rsidR="00451DBA" w:rsidRPr="00FF39F0">
        <w:rPr>
          <w:rFonts w:ascii="Arial" w:hAnsi="Arial" w:cs="Arial"/>
          <w:color w:val="EE0000"/>
          <w:sz w:val="22"/>
          <w:szCs w:val="20"/>
          <w:lang w:val="es-ES"/>
        </w:rPr>
        <w:t>s</w:t>
      </w:r>
      <w:r w:rsidR="001E2A4F" w:rsidRPr="00FF39F0">
        <w:rPr>
          <w:rFonts w:ascii="Arial" w:hAnsi="Arial" w:cs="Arial"/>
          <w:color w:val="EE0000"/>
          <w:sz w:val="22"/>
          <w:szCs w:val="20"/>
          <w:lang w:val="es-ES"/>
        </w:rPr>
        <w:t xml:space="preserve"> ciudad</w:t>
      </w:r>
      <w:r w:rsidR="00451DBA" w:rsidRPr="00FF39F0">
        <w:rPr>
          <w:rFonts w:ascii="Arial" w:hAnsi="Arial" w:cs="Arial"/>
          <w:color w:val="EE0000"/>
          <w:sz w:val="22"/>
          <w:szCs w:val="20"/>
          <w:lang w:val="es-ES"/>
        </w:rPr>
        <w:t>es</w:t>
      </w:r>
      <w:r w:rsidRPr="00FF39F0">
        <w:rPr>
          <w:rFonts w:ascii="Arial" w:hAnsi="Arial" w:cs="Arial"/>
          <w:color w:val="EE0000"/>
          <w:sz w:val="22"/>
          <w:szCs w:val="20"/>
          <w:lang w:val="es-ES"/>
        </w:rPr>
        <w:t xml:space="preserve"> de </w:t>
      </w:r>
      <w:r w:rsidR="00451DBA" w:rsidRPr="00FF39F0">
        <w:rPr>
          <w:rFonts w:ascii="Arial" w:hAnsi="Arial" w:cs="Arial"/>
          <w:color w:val="EE0000"/>
          <w:sz w:val="22"/>
          <w:szCs w:val="20"/>
          <w:lang w:val="es-ES"/>
        </w:rPr>
        <w:t xml:space="preserve">Latacunga y </w:t>
      </w:r>
      <w:r w:rsidR="005D1F78" w:rsidRPr="00FF39F0">
        <w:rPr>
          <w:rFonts w:ascii="Arial" w:hAnsi="Arial" w:cs="Arial"/>
          <w:color w:val="EE0000"/>
          <w:sz w:val="22"/>
          <w:szCs w:val="20"/>
          <w:lang w:val="es-ES"/>
        </w:rPr>
        <w:t>Riobamba</w:t>
      </w:r>
      <w:r w:rsidR="00451DBA" w:rsidRPr="00FF39F0">
        <w:rPr>
          <w:rFonts w:ascii="Arial" w:hAnsi="Arial" w:cs="Arial"/>
          <w:color w:val="EE0000"/>
          <w:sz w:val="22"/>
          <w:szCs w:val="20"/>
          <w:lang w:val="es-ES"/>
        </w:rPr>
        <w:t xml:space="preserve"> </w:t>
      </w:r>
      <w:r w:rsidRPr="00FF39F0">
        <w:rPr>
          <w:rFonts w:ascii="Arial" w:hAnsi="Arial" w:cs="Arial"/>
          <w:color w:val="EE0000"/>
          <w:sz w:val="22"/>
          <w:szCs w:val="20"/>
          <w:lang w:val="es-ES"/>
        </w:rPr>
        <w:t>muestra</w:t>
      </w:r>
      <w:r w:rsidR="00451DBA" w:rsidRPr="00FF39F0">
        <w:rPr>
          <w:rFonts w:ascii="Arial" w:hAnsi="Arial" w:cs="Arial"/>
          <w:color w:val="EE0000"/>
          <w:sz w:val="22"/>
          <w:szCs w:val="20"/>
          <w:lang w:val="es-ES"/>
        </w:rPr>
        <w:t xml:space="preserve">n </w:t>
      </w:r>
      <w:r w:rsidRPr="00FF39F0">
        <w:rPr>
          <w:rFonts w:ascii="Arial" w:hAnsi="Arial" w:cs="Arial"/>
          <w:color w:val="EE0000"/>
          <w:sz w:val="22"/>
          <w:szCs w:val="20"/>
          <w:lang w:val="es-ES"/>
        </w:rPr>
        <w:t xml:space="preserve">un escenario </w:t>
      </w:r>
      <w:r w:rsidR="00A94C7B" w:rsidRPr="00FF39F0">
        <w:rPr>
          <w:rFonts w:ascii="Arial" w:hAnsi="Arial" w:cs="Arial"/>
          <w:color w:val="EE0000"/>
          <w:sz w:val="22"/>
          <w:szCs w:val="20"/>
          <w:lang w:val="es-ES"/>
        </w:rPr>
        <w:t>pesimista</w:t>
      </w:r>
      <w:r w:rsidRPr="00FF39F0">
        <w:rPr>
          <w:rFonts w:ascii="Arial" w:hAnsi="Arial" w:cs="Arial"/>
          <w:color w:val="EE0000"/>
          <w:sz w:val="22"/>
          <w:szCs w:val="20"/>
          <w:lang w:val="es-ES"/>
        </w:rPr>
        <w:t xml:space="preserve"> debido a que s</w:t>
      </w:r>
      <w:r w:rsidR="002D18D7" w:rsidRPr="00FF39F0">
        <w:rPr>
          <w:rFonts w:ascii="Arial" w:hAnsi="Arial" w:cs="Arial"/>
          <w:color w:val="EE0000"/>
          <w:sz w:val="22"/>
          <w:szCs w:val="20"/>
          <w:lang w:val="es-ES"/>
        </w:rPr>
        <w:t>e</w:t>
      </w:r>
      <w:r w:rsidRPr="00FF39F0">
        <w:rPr>
          <w:rFonts w:ascii="Arial" w:hAnsi="Arial" w:cs="Arial"/>
          <w:color w:val="EE0000"/>
          <w:sz w:val="22"/>
          <w:szCs w:val="20"/>
          <w:lang w:val="es-ES"/>
        </w:rPr>
        <w:t xml:space="preserve"> encuentra por debajo de los 50 puntos</w:t>
      </w:r>
      <w:r w:rsidR="005D1F78" w:rsidRPr="00FF39F0">
        <w:rPr>
          <w:rFonts w:ascii="Arial" w:hAnsi="Arial" w:cs="Arial"/>
          <w:color w:val="EE0000"/>
          <w:sz w:val="22"/>
          <w:szCs w:val="20"/>
          <w:lang w:val="es-ES"/>
        </w:rPr>
        <w:t>.</w:t>
      </w:r>
      <w:r w:rsidR="001450F2" w:rsidRPr="00FF39F0">
        <w:rPr>
          <w:rFonts w:ascii="Arial" w:hAnsi="Arial" w:cs="Arial"/>
          <w:color w:val="EE0000"/>
          <w:sz w:val="22"/>
          <w:szCs w:val="20"/>
          <w:lang w:val="es-ES"/>
        </w:rPr>
        <w:t xml:space="preserve"> </w:t>
      </w:r>
      <w:r w:rsidR="008E30C8" w:rsidRPr="00FF39F0">
        <w:rPr>
          <w:rFonts w:ascii="Arial" w:hAnsi="Arial" w:cs="Arial"/>
          <w:color w:val="EE0000"/>
          <w:sz w:val="22"/>
          <w:szCs w:val="20"/>
          <w:lang w:val="es-ES"/>
        </w:rPr>
        <w:t>Sin embargo,</w:t>
      </w:r>
      <w:r w:rsidR="00424B55" w:rsidRPr="00FF39F0">
        <w:rPr>
          <w:rFonts w:ascii="Arial" w:hAnsi="Arial" w:cs="Arial"/>
          <w:color w:val="EE0000"/>
          <w:sz w:val="22"/>
          <w:szCs w:val="20"/>
          <w:lang w:val="es-ES"/>
        </w:rPr>
        <w:t xml:space="preserve"> la ciudad de Latacunga registra un índice mayor al de </w:t>
      </w:r>
      <w:r w:rsidR="00840054" w:rsidRPr="00FF39F0">
        <w:rPr>
          <w:rFonts w:ascii="Arial" w:hAnsi="Arial" w:cs="Arial"/>
          <w:color w:val="EE0000"/>
          <w:sz w:val="22"/>
          <w:szCs w:val="20"/>
          <w:lang w:val="es-ES"/>
        </w:rPr>
        <w:t xml:space="preserve">la ciudad de </w:t>
      </w:r>
      <w:r w:rsidR="00424B55" w:rsidRPr="00FF39F0">
        <w:rPr>
          <w:rFonts w:ascii="Arial" w:hAnsi="Arial" w:cs="Arial"/>
          <w:color w:val="EE0000"/>
          <w:sz w:val="22"/>
          <w:szCs w:val="20"/>
          <w:lang w:val="es-ES"/>
        </w:rPr>
        <w:t>Riobamba con 38</w:t>
      </w:r>
      <w:r w:rsidR="00840054" w:rsidRPr="00FF39F0">
        <w:rPr>
          <w:rFonts w:ascii="Arial" w:hAnsi="Arial" w:cs="Arial"/>
          <w:color w:val="EE0000"/>
          <w:sz w:val="22"/>
          <w:szCs w:val="20"/>
          <w:lang w:val="es-ES"/>
        </w:rPr>
        <w:t>,</w:t>
      </w:r>
      <w:r w:rsidR="007D2BDB" w:rsidRPr="00FF39F0">
        <w:rPr>
          <w:rFonts w:ascii="Arial" w:hAnsi="Arial" w:cs="Arial"/>
          <w:color w:val="EE0000"/>
          <w:sz w:val="22"/>
          <w:szCs w:val="20"/>
          <w:lang w:val="es-ES"/>
        </w:rPr>
        <w:t>9</w:t>
      </w:r>
      <w:r w:rsidR="00424B55" w:rsidRPr="00FF39F0">
        <w:rPr>
          <w:rFonts w:ascii="Arial" w:hAnsi="Arial" w:cs="Arial"/>
          <w:color w:val="EE0000"/>
          <w:sz w:val="22"/>
          <w:szCs w:val="20"/>
          <w:lang w:val="es-ES"/>
        </w:rPr>
        <w:t xml:space="preserve">3 puntos, </w:t>
      </w:r>
      <w:r w:rsidR="00840054" w:rsidRPr="00FF39F0">
        <w:rPr>
          <w:rFonts w:ascii="Arial" w:hAnsi="Arial" w:cs="Arial"/>
          <w:color w:val="EE0000"/>
          <w:sz w:val="22"/>
          <w:szCs w:val="20"/>
          <w:lang w:val="es-ES"/>
        </w:rPr>
        <w:t xml:space="preserve">a la vez se </w:t>
      </w:r>
      <w:r w:rsidR="006C6043" w:rsidRPr="00FF39F0">
        <w:rPr>
          <w:rFonts w:ascii="Arial" w:hAnsi="Arial" w:cs="Arial"/>
          <w:color w:val="EE0000"/>
          <w:sz w:val="22"/>
          <w:szCs w:val="20"/>
          <w:lang w:val="es-ES"/>
        </w:rPr>
        <w:t xml:space="preserve">resalta que en la categoría de situación del país y laboral se </w:t>
      </w:r>
      <w:r w:rsidR="00840054" w:rsidRPr="00FF39F0">
        <w:rPr>
          <w:rFonts w:ascii="Arial" w:hAnsi="Arial" w:cs="Arial"/>
          <w:color w:val="EE0000"/>
          <w:sz w:val="22"/>
          <w:szCs w:val="20"/>
          <w:lang w:val="es-ES"/>
        </w:rPr>
        <w:t>encuentran</w:t>
      </w:r>
      <w:r w:rsidR="006C6043" w:rsidRPr="00FF39F0">
        <w:rPr>
          <w:rFonts w:ascii="Arial" w:hAnsi="Arial" w:cs="Arial"/>
          <w:color w:val="EE0000"/>
          <w:sz w:val="22"/>
          <w:szCs w:val="20"/>
          <w:lang w:val="es-ES"/>
        </w:rPr>
        <w:t xml:space="preserve"> </w:t>
      </w:r>
      <w:r w:rsidR="006C6043" w:rsidRPr="00FF39F0">
        <w:rPr>
          <w:rFonts w:ascii="Arial" w:hAnsi="Arial" w:cs="Arial"/>
          <w:color w:val="EE0000"/>
          <w:sz w:val="22"/>
          <w:szCs w:val="20"/>
          <w:lang w:val="es-ES"/>
        </w:rPr>
        <w:lastRenderedPageBreak/>
        <w:t xml:space="preserve">los índices más bajos </w:t>
      </w:r>
      <w:r w:rsidR="00840054" w:rsidRPr="00FF39F0">
        <w:rPr>
          <w:rFonts w:ascii="Arial" w:hAnsi="Arial" w:cs="Arial"/>
          <w:color w:val="EE0000"/>
          <w:sz w:val="22"/>
          <w:szCs w:val="20"/>
          <w:lang w:val="es-ES"/>
        </w:rPr>
        <w:t>a comparación de las demás categorías con un valor de 24,73 puntos como mínimo y 35,65 puntos como máximo.</w:t>
      </w:r>
    </w:p>
    <w:p w14:paraId="2334FDB6" w14:textId="0E9A3B77" w:rsidR="008F4696" w:rsidRPr="006C6043" w:rsidRDefault="006C6043" w:rsidP="006C6043">
      <w:pPr>
        <w:pStyle w:val="Descripcin"/>
        <w:ind w:firstLine="0"/>
        <w:rPr>
          <w:rFonts w:ascii="Arial" w:hAnsi="Arial" w:cs="Arial"/>
          <w:i w:val="0"/>
          <w:iCs w:val="0"/>
          <w:color w:val="000000" w:themeColor="text1"/>
          <w:sz w:val="20"/>
          <w:szCs w:val="20"/>
        </w:rPr>
      </w:pPr>
      <w:r w:rsidRPr="00A47A9C">
        <w:rPr>
          <w:rFonts w:ascii="Arial" w:hAnsi="Arial" w:cs="Arial"/>
          <w:b/>
          <w:bCs/>
          <w:i w:val="0"/>
          <w:iCs w:val="0"/>
          <w:color w:val="auto"/>
          <w:sz w:val="20"/>
          <w:szCs w:val="20"/>
        </w:rPr>
        <w:t xml:space="preserve">Gráfico </w:t>
      </w:r>
      <w:r w:rsidRPr="00A47A9C">
        <w:rPr>
          <w:rFonts w:ascii="Arial" w:hAnsi="Arial" w:cs="Arial"/>
          <w:b/>
          <w:bCs/>
          <w:i w:val="0"/>
          <w:iCs w:val="0"/>
          <w:color w:val="auto"/>
          <w:sz w:val="20"/>
          <w:szCs w:val="20"/>
        </w:rPr>
        <w:fldChar w:fldCharType="begin"/>
      </w:r>
      <w:r w:rsidRPr="00A47A9C">
        <w:rPr>
          <w:rFonts w:ascii="Arial" w:hAnsi="Arial" w:cs="Arial"/>
          <w:b/>
          <w:bCs/>
          <w:i w:val="0"/>
          <w:iCs w:val="0"/>
          <w:color w:val="auto"/>
          <w:sz w:val="20"/>
          <w:szCs w:val="20"/>
        </w:rPr>
        <w:instrText xml:space="preserve"> SEQ Gráfico \* ARABIC </w:instrText>
      </w:r>
      <w:r w:rsidRPr="00A47A9C">
        <w:rPr>
          <w:rFonts w:ascii="Arial" w:hAnsi="Arial" w:cs="Arial"/>
          <w:b/>
          <w:bCs/>
          <w:i w:val="0"/>
          <w:iCs w:val="0"/>
          <w:color w:val="auto"/>
          <w:sz w:val="20"/>
          <w:szCs w:val="20"/>
        </w:rPr>
        <w:fldChar w:fldCharType="separate"/>
      </w:r>
      <w:r w:rsidRPr="00A47A9C">
        <w:rPr>
          <w:rFonts w:ascii="Arial" w:hAnsi="Arial" w:cs="Arial"/>
          <w:b/>
          <w:bCs/>
          <w:i w:val="0"/>
          <w:iCs w:val="0"/>
          <w:noProof/>
          <w:color w:val="auto"/>
          <w:sz w:val="20"/>
          <w:szCs w:val="20"/>
        </w:rPr>
        <w:t>1</w:t>
      </w:r>
      <w:r w:rsidRPr="00A47A9C">
        <w:rPr>
          <w:rFonts w:ascii="Arial" w:hAnsi="Arial" w:cs="Arial"/>
          <w:b/>
          <w:bCs/>
          <w:i w:val="0"/>
          <w:iCs w:val="0"/>
          <w:color w:val="auto"/>
          <w:sz w:val="20"/>
          <w:szCs w:val="20"/>
        </w:rPr>
        <w:fldChar w:fldCharType="end"/>
      </w:r>
      <w:r w:rsidRPr="00A47A9C">
        <w:rPr>
          <w:rFonts w:ascii="Arial" w:hAnsi="Arial" w:cs="Arial"/>
          <w:b/>
          <w:bCs/>
          <w:i w:val="0"/>
          <w:iCs w:val="0"/>
          <w:color w:val="auto"/>
          <w:sz w:val="20"/>
          <w:szCs w:val="20"/>
        </w:rPr>
        <w:t>.</w:t>
      </w:r>
      <w:r w:rsidR="008F4696" w:rsidRPr="006C6043">
        <w:rPr>
          <w:rFonts w:ascii="Arial" w:hAnsi="Arial" w:cs="Arial"/>
          <w:i w:val="0"/>
          <w:iCs w:val="0"/>
          <w:color w:val="auto"/>
          <w:sz w:val="20"/>
          <w:szCs w:val="20"/>
        </w:rPr>
        <w:t xml:space="preserve"> </w:t>
      </w:r>
      <w:r w:rsidR="00FE312A" w:rsidRPr="006C6043">
        <w:rPr>
          <w:rFonts w:ascii="Arial" w:hAnsi="Arial" w:cs="Arial"/>
          <w:i w:val="0"/>
          <w:iCs w:val="0"/>
          <w:color w:val="auto"/>
          <w:sz w:val="20"/>
          <w:szCs w:val="20"/>
        </w:rPr>
        <w:t xml:space="preserve">Evolución del Índice de </w:t>
      </w:r>
      <w:r>
        <w:rPr>
          <w:rFonts w:ascii="Arial" w:hAnsi="Arial" w:cs="Arial"/>
          <w:i w:val="0"/>
          <w:iCs w:val="0"/>
          <w:color w:val="auto"/>
          <w:sz w:val="20"/>
          <w:szCs w:val="20"/>
        </w:rPr>
        <w:t>C</w:t>
      </w:r>
      <w:r w:rsidR="00FE312A" w:rsidRPr="006C6043">
        <w:rPr>
          <w:rFonts w:ascii="Arial" w:hAnsi="Arial" w:cs="Arial"/>
          <w:i w:val="0"/>
          <w:iCs w:val="0"/>
          <w:color w:val="auto"/>
          <w:sz w:val="20"/>
          <w:szCs w:val="20"/>
        </w:rPr>
        <w:t xml:space="preserve">onfianza del </w:t>
      </w:r>
      <w:r>
        <w:rPr>
          <w:rFonts w:ascii="Arial" w:hAnsi="Arial" w:cs="Arial"/>
          <w:i w:val="0"/>
          <w:iCs w:val="0"/>
          <w:color w:val="auto"/>
          <w:sz w:val="20"/>
          <w:szCs w:val="20"/>
        </w:rPr>
        <w:t>C</w:t>
      </w:r>
      <w:r w:rsidR="00FE312A" w:rsidRPr="006C6043">
        <w:rPr>
          <w:rFonts w:ascii="Arial" w:hAnsi="Arial" w:cs="Arial"/>
          <w:i w:val="0"/>
          <w:iCs w:val="0"/>
          <w:color w:val="auto"/>
          <w:sz w:val="20"/>
          <w:szCs w:val="20"/>
        </w:rPr>
        <w:t xml:space="preserve">onsumidor </w:t>
      </w:r>
      <w:r w:rsidR="00A47A9C">
        <w:rPr>
          <w:rFonts w:ascii="Arial" w:hAnsi="Arial" w:cs="Arial"/>
          <w:i w:val="0"/>
          <w:iCs w:val="0"/>
          <w:color w:val="auto"/>
          <w:sz w:val="20"/>
          <w:szCs w:val="20"/>
        </w:rPr>
        <w:t>N</w:t>
      </w:r>
      <w:r w:rsidR="00FE312A" w:rsidRPr="006C6043">
        <w:rPr>
          <w:rFonts w:ascii="Arial" w:hAnsi="Arial" w:cs="Arial"/>
          <w:i w:val="0"/>
          <w:iCs w:val="0"/>
          <w:color w:val="auto"/>
          <w:sz w:val="20"/>
          <w:szCs w:val="20"/>
        </w:rPr>
        <w:t xml:space="preserve">acional </w:t>
      </w:r>
      <w:r w:rsidR="00A47A9C">
        <w:rPr>
          <w:rFonts w:ascii="Arial" w:hAnsi="Arial" w:cs="Arial"/>
          <w:i w:val="0"/>
          <w:iCs w:val="0"/>
          <w:color w:val="auto"/>
          <w:sz w:val="20"/>
          <w:szCs w:val="20"/>
        </w:rPr>
        <w:t>U</w:t>
      </w:r>
      <w:r w:rsidR="00FE312A" w:rsidRPr="006C6043">
        <w:rPr>
          <w:rFonts w:ascii="Arial" w:hAnsi="Arial" w:cs="Arial"/>
          <w:i w:val="0"/>
          <w:iCs w:val="0"/>
          <w:color w:val="auto"/>
          <w:sz w:val="20"/>
          <w:szCs w:val="20"/>
        </w:rPr>
        <w:t>rbano</w:t>
      </w:r>
      <w:r w:rsidR="00A94C7B" w:rsidRPr="006C6043">
        <w:rPr>
          <w:rFonts w:ascii="Arial" w:hAnsi="Arial" w:cs="Arial"/>
          <w:i w:val="0"/>
          <w:iCs w:val="0"/>
          <w:color w:val="auto"/>
          <w:sz w:val="20"/>
          <w:szCs w:val="20"/>
        </w:rPr>
        <w:t xml:space="preserve"> </w:t>
      </w:r>
      <w:r w:rsidR="00FE312A" w:rsidRPr="006C6043">
        <w:rPr>
          <w:rFonts w:ascii="Arial" w:hAnsi="Arial" w:cs="Arial"/>
          <w:i w:val="0"/>
          <w:iCs w:val="0"/>
          <w:color w:val="auto"/>
          <w:sz w:val="20"/>
          <w:szCs w:val="20"/>
        </w:rPr>
        <w:t>y Riobamba</w:t>
      </w:r>
    </w:p>
    <w:p w14:paraId="767BE649" w14:textId="1AFA0347" w:rsidR="00D91E13" w:rsidRPr="006C6043" w:rsidRDefault="007D2BDB" w:rsidP="002D2F9E">
      <w:pPr>
        <w:spacing w:line="240" w:lineRule="auto"/>
        <w:ind w:firstLine="0"/>
        <w:jc w:val="center"/>
        <w:rPr>
          <w:rFonts w:ascii="Arial" w:hAnsi="Arial" w:cs="Arial"/>
          <w:sz w:val="22"/>
          <w:szCs w:val="20"/>
        </w:rPr>
      </w:pPr>
      <w:r>
        <w:rPr>
          <w:noProof/>
          <w14:ligatures w14:val="standardContextual"/>
        </w:rPr>
        <w:drawing>
          <wp:inline distT="0" distB="0" distL="0" distR="0" wp14:anchorId="045C8833" wp14:editId="668D914B">
            <wp:extent cx="4083936" cy="2220008"/>
            <wp:effectExtent l="0" t="0" r="12065" b="8890"/>
            <wp:docPr id="1109389429" name="Gráfico 1">
              <a:extLst xmlns:a="http://schemas.openxmlformats.org/drawingml/2006/main">
                <a:ext uri="{FF2B5EF4-FFF2-40B4-BE49-F238E27FC236}">
                  <a16:creationId xmlns:a16="http://schemas.microsoft.com/office/drawing/2014/main" id="{072C0247-0ABB-471B-9D6F-A992019AD5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91DC681" w14:textId="5DA7B341" w:rsidR="005852A4" w:rsidRPr="006C6043" w:rsidRDefault="005852A4" w:rsidP="00793D3B">
      <w:pPr>
        <w:tabs>
          <w:tab w:val="left" w:pos="142"/>
        </w:tabs>
        <w:spacing w:after="0" w:line="240" w:lineRule="auto"/>
        <w:ind w:firstLine="0"/>
        <w:rPr>
          <w:rFonts w:ascii="Arial" w:hAnsi="Arial" w:cs="Arial"/>
          <w:sz w:val="20"/>
          <w:szCs w:val="20"/>
          <w:lang w:val="es-ES"/>
        </w:rPr>
      </w:pPr>
      <w:r w:rsidRPr="006C6043">
        <w:rPr>
          <w:rFonts w:ascii="Arial" w:hAnsi="Arial" w:cs="Arial"/>
          <w:b/>
          <w:bCs/>
          <w:sz w:val="20"/>
          <w:szCs w:val="20"/>
          <w:lang w:val="es-ES"/>
        </w:rPr>
        <w:t xml:space="preserve">Nota: </w:t>
      </w:r>
      <w:r w:rsidR="00C85F45" w:rsidRPr="006C6043">
        <w:rPr>
          <w:rFonts w:ascii="Arial" w:hAnsi="Arial" w:cs="Arial"/>
          <w:sz w:val="20"/>
          <w:szCs w:val="20"/>
          <w:lang w:val="es-ES"/>
        </w:rPr>
        <w:t>e</w:t>
      </w:r>
      <w:r w:rsidRPr="006C6043">
        <w:rPr>
          <w:rFonts w:ascii="Arial" w:hAnsi="Arial" w:cs="Arial"/>
          <w:sz w:val="20"/>
          <w:szCs w:val="20"/>
          <w:lang w:val="es-ES"/>
        </w:rPr>
        <w:t xml:space="preserve">laboración con base a </w:t>
      </w:r>
      <w:r w:rsidR="006C6043">
        <w:rPr>
          <w:rFonts w:ascii="Arial" w:hAnsi="Arial" w:cs="Arial"/>
          <w:sz w:val="20"/>
          <w:szCs w:val="20"/>
          <w:lang w:val="es-ES"/>
        </w:rPr>
        <w:t xml:space="preserve">datos proporcionados a partir del Boletín </w:t>
      </w:r>
      <w:proofErr w:type="spellStart"/>
      <w:r w:rsidR="006C6043">
        <w:rPr>
          <w:rFonts w:ascii="Arial" w:hAnsi="Arial" w:cs="Arial"/>
          <w:sz w:val="20"/>
          <w:szCs w:val="20"/>
          <w:lang w:val="es-ES"/>
        </w:rPr>
        <w:t>N</w:t>
      </w:r>
      <w:r w:rsidR="00584C01">
        <w:rPr>
          <w:rFonts w:ascii="Arial" w:hAnsi="Arial" w:cs="Arial"/>
          <w:sz w:val="20"/>
          <w:szCs w:val="20"/>
          <w:lang w:val="es-ES"/>
        </w:rPr>
        <w:t>ro</w:t>
      </w:r>
      <w:proofErr w:type="spellEnd"/>
      <w:r w:rsidR="006C6043">
        <w:rPr>
          <w:rFonts w:ascii="Arial" w:hAnsi="Arial" w:cs="Arial"/>
          <w:sz w:val="20"/>
          <w:szCs w:val="20"/>
          <w:lang w:val="es-ES"/>
        </w:rPr>
        <w:t xml:space="preserve"> 6 hasta actual</w:t>
      </w:r>
      <w:r w:rsidR="00F44642" w:rsidRPr="006C6043">
        <w:rPr>
          <w:rFonts w:ascii="Arial" w:hAnsi="Arial" w:cs="Arial"/>
          <w:sz w:val="20"/>
          <w:szCs w:val="20"/>
          <w:lang w:val="es-ES"/>
        </w:rPr>
        <w:t>.</w:t>
      </w:r>
    </w:p>
    <w:p w14:paraId="2BA6E289" w14:textId="0AD4F4B2" w:rsidR="00793D3B" w:rsidRPr="006C6043" w:rsidRDefault="00793D3B" w:rsidP="00793D3B">
      <w:pPr>
        <w:tabs>
          <w:tab w:val="left" w:pos="142"/>
        </w:tabs>
        <w:spacing w:after="0" w:line="240" w:lineRule="auto"/>
        <w:ind w:firstLine="0"/>
        <w:rPr>
          <w:rFonts w:ascii="Arial" w:hAnsi="Arial" w:cs="Arial"/>
          <w:sz w:val="20"/>
          <w:szCs w:val="20"/>
          <w:lang w:val="es-ES"/>
        </w:rPr>
      </w:pPr>
      <w:r w:rsidRPr="006C6043">
        <w:rPr>
          <w:rFonts w:ascii="Arial" w:hAnsi="Arial" w:cs="Arial"/>
          <w:b/>
          <w:bCs/>
          <w:sz w:val="20"/>
          <w:szCs w:val="20"/>
          <w:lang w:val="es-ES"/>
        </w:rPr>
        <w:t xml:space="preserve">Fuente: </w:t>
      </w:r>
      <w:r w:rsidR="00EC5007" w:rsidRPr="006C6043">
        <w:rPr>
          <w:rFonts w:ascii="Arial" w:hAnsi="Arial" w:cs="Arial"/>
          <w:sz w:val="20"/>
          <w:szCs w:val="20"/>
          <w:lang w:val="es-ES"/>
        </w:rPr>
        <w:t>Observatorio Económico de la Universidad Nacional de Chimborazo y BCE</w:t>
      </w:r>
      <w:r w:rsidR="00F44642" w:rsidRPr="006C6043">
        <w:rPr>
          <w:rFonts w:ascii="Arial" w:hAnsi="Arial" w:cs="Arial"/>
          <w:sz w:val="20"/>
          <w:szCs w:val="20"/>
          <w:lang w:val="es-ES"/>
        </w:rPr>
        <w:t>.</w:t>
      </w:r>
    </w:p>
    <w:p w14:paraId="2AE4EEB8" w14:textId="77777777" w:rsidR="00793D3B" w:rsidRPr="006C6043" w:rsidRDefault="00793D3B" w:rsidP="005D1F78">
      <w:pPr>
        <w:spacing w:line="240" w:lineRule="auto"/>
        <w:ind w:firstLine="0"/>
        <w:rPr>
          <w:rFonts w:ascii="Arial" w:hAnsi="Arial" w:cs="Arial"/>
          <w:sz w:val="22"/>
          <w:szCs w:val="20"/>
          <w:lang w:val="es-ES"/>
        </w:rPr>
      </w:pPr>
    </w:p>
    <w:p w14:paraId="5730790F" w14:textId="2BAA285F" w:rsidR="00CF56A8" w:rsidRPr="00FF39F0" w:rsidRDefault="00CF56A8" w:rsidP="005D1F78">
      <w:pPr>
        <w:spacing w:line="240" w:lineRule="auto"/>
        <w:ind w:firstLine="0"/>
        <w:rPr>
          <w:rFonts w:ascii="Arial" w:hAnsi="Arial" w:cs="Arial"/>
          <w:color w:val="EE0000"/>
          <w:sz w:val="20"/>
          <w:szCs w:val="18"/>
          <w:lang w:val="es-ES"/>
        </w:rPr>
      </w:pPr>
      <w:r w:rsidRPr="00FF39F0">
        <w:rPr>
          <w:rFonts w:ascii="Arial" w:hAnsi="Arial" w:cs="Arial"/>
          <w:color w:val="EE0000"/>
          <w:sz w:val="22"/>
          <w:szCs w:val="20"/>
        </w:rPr>
        <w:t xml:space="preserve">Durante el periodo de estudio se observa un comportamiento constante en el ICC nacional urbano, mientras el ICC de Riobamba presenta un comportamiento variable. El ICC de la ciudad de Riobamba es mayor al ICC nacional urbano en el periodo de análisis agosto 2021 a </w:t>
      </w:r>
      <w:r w:rsidR="008F4696" w:rsidRPr="00FF39F0">
        <w:rPr>
          <w:rFonts w:ascii="Arial" w:hAnsi="Arial" w:cs="Arial"/>
          <w:color w:val="EE0000"/>
          <w:sz w:val="22"/>
          <w:szCs w:val="20"/>
        </w:rPr>
        <w:t>noviembre</w:t>
      </w:r>
      <w:r w:rsidRPr="00FF39F0">
        <w:rPr>
          <w:rFonts w:ascii="Arial" w:hAnsi="Arial" w:cs="Arial"/>
          <w:color w:val="EE0000"/>
          <w:sz w:val="22"/>
          <w:szCs w:val="20"/>
        </w:rPr>
        <w:t xml:space="preserve"> 202</w:t>
      </w:r>
      <w:r w:rsidR="008F4696" w:rsidRPr="00FF39F0">
        <w:rPr>
          <w:rFonts w:ascii="Arial" w:hAnsi="Arial" w:cs="Arial"/>
          <w:color w:val="EE0000"/>
          <w:sz w:val="22"/>
          <w:szCs w:val="20"/>
        </w:rPr>
        <w:t>4</w:t>
      </w:r>
      <w:r w:rsidRPr="00FF39F0">
        <w:rPr>
          <w:rFonts w:ascii="Arial" w:hAnsi="Arial" w:cs="Arial"/>
          <w:color w:val="EE0000"/>
          <w:sz w:val="22"/>
          <w:szCs w:val="20"/>
        </w:rPr>
        <w:t>, sin embargo, en junio del 2022 se observa ambos son</w:t>
      </w:r>
      <w:r w:rsidR="00C85F45" w:rsidRPr="00FF39F0">
        <w:rPr>
          <w:rFonts w:ascii="Arial" w:hAnsi="Arial" w:cs="Arial"/>
          <w:color w:val="EE0000"/>
          <w:sz w:val="22"/>
          <w:szCs w:val="20"/>
        </w:rPr>
        <w:t xml:space="preserve"> </w:t>
      </w:r>
      <w:r w:rsidRPr="00FF39F0">
        <w:rPr>
          <w:rFonts w:ascii="Arial" w:hAnsi="Arial" w:cs="Arial"/>
          <w:color w:val="EE0000"/>
          <w:sz w:val="22"/>
          <w:szCs w:val="20"/>
        </w:rPr>
        <w:t>similares. El promedio del ICC de la ciudad de Riobamba es de 4</w:t>
      </w:r>
      <w:r w:rsidR="000D6679" w:rsidRPr="00FF39F0">
        <w:rPr>
          <w:rFonts w:ascii="Arial" w:hAnsi="Arial" w:cs="Arial"/>
          <w:color w:val="EE0000"/>
          <w:sz w:val="22"/>
          <w:szCs w:val="20"/>
        </w:rPr>
        <w:t>2</w:t>
      </w:r>
      <w:r w:rsidRPr="00FF39F0">
        <w:rPr>
          <w:rFonts w:ascii="Arial" w:hAnsi="Arial" w:cs="Arial"/>
          <w:color w:val="EE0000"/>
          <w:sz w:val="22"/>
          <w:szCs w:val="20"/>
        </w:rPr>
        <w:t>,</w:t>
      </w:r>
      <w:r w:rsidR="000D6679" w:rsidRPr="00FF39F0">
        <w:rPr>
          <w:rFonts w:ascii="Arial" w:hAnsi="Arial" w:cs="Arial"/>
          <w:color w:val="EE0000"/>
          <w:sz w:val="22"/>
          <w:szCs w:val="20"/>
        </w:rPr>
        <w:t>8</w:t>
      </w:r>
      <w:r w:rsidR="007D2BDB" w:rsidRPr="00FF39F0">
        <w:rPr>
          <w:rFonts w:ascii="Arial" w:hAnsi="Arial" w:cs="Arial"/>
          <w:color w:val="EE0000"/>
          <w:sz w:val="22"/>
          <w:szCs w:val="20"/>
        </w:rPr>
        <w:t>8</w:t>
      </w:r>
      <w:r w:rsidRPr="00FF39F0">
        <w:rPr>
          <w:rFonts w:ascii="Arial" w:hAnsi="Arial" w:cs="Arial"/>
          <w:color w:val="EE0000"/>
          <w:sz w:val="22"/>
          <w:szCs w:val="20"/>
        </w:rPr>
        <w:t xml:space="preserve"> punto</w:t>
      </w:r>
      <w:r w:rsidR="007D2BDB" w:rsidRPr="00FF39F0">
        <w:rPr>
          <w:rFonts w:ascii="Arial" w:hAnsi="Arial" w:cs="Arial"/>
          <w:color w:val="EE0000"/>
          <w:sz w:val="22"/>
          <w:szCs w:val="20"/>
        </w:rPr>
        <w:t>s, mientras que el promedio del ICC nacional urbano es de 36,34 puntos.</w:t>
      </w:r>
    </w:p>
    <w:sectPr w:rsidR="00CF56A8" w:rsidRPr="00FF39F0" w:rsidSect="007142CA">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9B598C"/>
    <w:multiLevelType w:val="hybridMultilevel"/>
    <w:tmpl w:val="19ECC5B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7A94451E"/>
    <w:multiLevelType w:val="hybridMultilevel"/>
    <w:tmpl w:val="82FA10C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318849115">
    <w:abstractNumId w:val="0"/>
  </w:num>
  <w:num w:numId="2" w16cid:durableId="616446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A6"/>
    <w:rsid w:val="000162A4"/>
    <w:rsid w:val="00016B7F"/>
    <w:rsid w:val="000175DD"/>
    <w:rsid w:val="000316F1"/>
    <w:rsid w:val="00062433"/>
    <w:rsid w:val="00072A66"/>
    <w:rsid w:val="000A17E3"/>
    <w:rsid w:val="000A79F8"/>
    <w:rsid w:val="000C5352"/>
    <w:rsid w:val="000D6679"/>
    <w:rsid w:val="001013A7"/>
    <w:rsid w:val="00106EE0"/>
    <w:rsid w:val="001450F2"/>
    <w:rsid w:val="00157EDC"/>
    <w:rsid w:val="00162BAB"/>
    <w:rsid w:val="001C6C3F"/>
    <w:rsid w:val="001E2A4F"/>
    <w:rsid w:val="00292673"/>
    <w:rsid w:val="002A5D82"/>
    <w:rsid w:val="002B7B93"/>
    <w:rsid w:val="002C6AED"/>
    <w:rsid w:val="002D18D7"/>
    <w:rsid w:val="002D2F9E"/>
    <w:rsid w:val="002D641B"/>
    <w:rsid w:val="002E50BA"/>
    <w:rsid w:val="002F262F"/>
    <w:rsid w:val="00301E67"/>
    <w:rsid w:val="00307101"/>
    <w:rsid w:val="003143DC"/>
    <w:rsid w:val="00317D1D"/>
    <w:rsid w:val="00335B00"/>
    <w:rsid w:val="00335F04"/>
    <w:rsid w:val="003509F1"/>
    <w:rsid w:val="003764B4"/>
    <w:rsid w:val="0039000C"/>
    <w:rsid w:val="003C05B7"/>
    <w:rsid w:val="003C4882"/>
    <w:rsid w:val="003C5A30"/>
    <w:rsid w:val="003D42F4"/>
    <w:rsid w:val="003E5777"/>
    <w:rsid w:val="003F0910"/>
    <w:rsid w:val="003F16E8"/>
    <w:rsid w:val="00402226"/>
    <w:rsid w:val="0042206E"/>
    <w:rsid w:val="00424B55"/>
    <w:rsid w:val="00436066"/>
    <w:rsid w:val="00451DBA"/>
    <w:rsid w:val="00477133"/>
    <w:rsid w:val="004A669E"/>
    <w:rsid w:val="004D7B5A"/>
    <w:rsid w:val="004F2F9A"/>
    <w:rsid w:val="004F4347"/>
    <w:rsid w:val="004F5FB2"/>
    <w:rsid w:val="00512C8B"/>
    <w:rsid w:val="00521DDC"/>
    <w:rsid w:val="00536901"/>
    <w:rsid w:val="00537C2A"/>
    <w:rsid w:val="00544248"/>
    <w:rsid w:val="005562B6"/>
    <w:rsid w:val="00563857"/>
    <w:rsid w:val="00571FCD"/>
    <w:rsid w:val="00584C01"/>
    <w:rsid w:val="005852A4"/>
    <w:rsid w:val="00585708"/>
    <w:rsid w:val="00586DD6"/>
    <w:rsid w:val="005A566E"/>
    <w:rsid w:val="005C1685"/>
    <w:rsid w:val="005C1F0F"/>
    <w:rsid w:val="005D1F78"/>
    <w:rsid w:val="005E35A6"/>
    <w:rsid w:val="005F1BE1"/>
    <w:rsid w:val="005F653C"/>
    <w:rsid w:val="00616A2B"/>
    <w:rsid w:val="00622611"/>
    <w:rsid w:val="00684C34"/>
    <w:rsid w:val="00690035"/>
    <w:rsid w:val="006B7A43"/>
    <w:rsid w:val="006C201D"/>
    <w:rsid w:val="006C6043"/>
    <w:rsid w:val="006E2BD1"/>
    <w:rsid w:val="006F671E"/>
    <w:rsid w:val="007107CB"/>
    <w:rsid w:val="007142CA"/>
    <w:rsid w:val="00744A31"/>
    <w:rsid w:val="0077688A"/>
    <w:rsid w:val="00793D3B"/>
    <w:rsid w:val="007B0567"/>
    <w:rsid w:val="007B0B0B"/>
    <w:rsid w:val="007C7F43"/>
    <w:rsid w:val="007D2BDB"/>
    <w:rsid w:val="007D6653"/>
    <w:rsid w:val="008021A0"/>
    <w:rsid w:val="00840054"/>
    <w:rsid w:val="00851D54"/>
    <w:rsid w:val="00854F59"/>
    <w:rsid w:val="00875FFF"/>
    <w:rsid w:val="00877FF1"/>
    <w:rsid w:val="0088451F"/>
    <w:rsid w:val="00887EA5"/>
    <w:rsid w:val="00890F64"/>
    <w:rsid w:val="00892EAA"/>
    <w:rsid w:val="008B79C5"/>
    <w:rsid w:val="008C081C"/>
    <w:rsid w:val="008E30C8"/>
    <w:rsid w:val="008F4696"/>
    <w:rsid w:val="00920DA1"/>
    <w:rsid w:val="009342E4"/>
    <w:rsid w:val="00956489"/>
    <w:rsid w:val="009670B7"/>
    <w:rsid w:val="009824EB"/>
    <w:rsid w:val="0098496D"/>
    <w:rsid w:val="009937D7"/>
    <w:rsid w:val="009957A3"/>
    <w:rsid w:val="009D1C17"/>
    <w:rsid w:val="00A23D28"/>
    <w:rsid w:val="00A248A1"/>
    <w:rsid w:val="00A2674F"/>
    <w:rsid w:val="00A366DA"/>
    <w:rsid w:val="00A4058F"/>
    <w:rsid w:val="00A47A9C"/>
    <w:rsid w:val="00A60B1F"/>
    <w:rsid w:val="00A6174D"/>
    <w:rsid w:val="00A930F6"/>
    <w:rsid w:val="00A94C7B"/>
    <w:rsid w:val="00AA2CFD"/>
    <w:rsid w:val="00AA5B36"/>
    <w:rsid w:val="00B023FE"/>
    <w:rsid w:val="00B141C8"/>
    <w:rsid w:val="00B66820"/>
    <w:rsid w:val="00B82160"/>
    <w:rsid w:val="00B857D8"/>
    <w:rsid w:val="00BA1498"/>
    <w:rsid w:val="00BA17A4"/>
    <w:rsid w:val="00BA3417"/>
    <w:rsid w:val="00BC3241"/>
    <w:rsid w:val="00C208BD"/>
    <w:rsid w:val="00C53286"/>
    <w:rsid w:val="00C62609"/>
    <w:rsid w:val="00C81D7C"/>
    <w:rsid w:val="00C857C9"/>
    <w:rsid w:val="00C85F45"/>
    <w:rsid w:val="00CA0A4B"/>
    <w:rsid w:val="00CA3672"/>
    <w:rsid w:val="00CE1AE6"/>
    <w:rsid w:val="00CE69A5"/>
    <w:rsid w:val="00CE7012"/>
    <w:rsid w:val="00CF48FC"/>
    <w:rsid w:val="00CF56A8"/>
    <w:rsid w:val="00D11F1C"/>
    <w:rsid w:val="00D31713"/>
    <w:rsid w:val="00D323F6"/>
    <w:rsid w:val="00D42F59"/>
    <w:rsid w:val="00D60AB2"/>
    <w:rsid w:val="00D708A8"/>
    <w:rsid w:val="00D748E0"/>
    <w:rsid w:val="00D87F9F"/>
    <w:rsid w:val="00D91E13"/>
    <w:rsid w:val="00DC140C"/>
    <w:rsid w:val="00DD40D1"/>
    <w:rsid w:val="00DF179B"/>
    <w:rsid w:val="00DF1980"/>
    <w:rsid w:val="00DF7501"/>
    <w:rsid w:val="00E2484A"/>
    <w:rsid w:val="00E43A56"/>
    <w:rsid w:val="00E62491"/>
    <w:rsid w:val="00EA08F0"/>
    <w:rsid w:val="00EA1965"/>
    <w:rsid w:val="00EC07EF"/>
    <w:rsid w:val="00EC5007"/>
    <w:rsid w:val="00F235A0"/>
    <w:rsid w:val="00F26B80"/>
    <w:rsid w:val="00F44642"/>
    <w:rsid w:val="00F80307"/>
    <w:rsid w:val="00F86A8E"/>
    <w:rsid w:val="00F917F0"/>
    <w:rsid w:val="00F941E6"/>
    <w:rsid w:val="00F97109"/>
    <w:rsid w:val="00FB31CA"/>
    <w:rsid w:val="00FB6E43"/>
    <w:rsid w:val="00FD351A"/>
    <w:rsid w:val="00FE22EA"/>
    <w:rsid w:val="00FE312A"/>
    <w:rsid w:val="00FE6C92"/>
    <w:rsid w:val="00FF39F0"/>
    <w:rsid w:val="00FF7F0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F1DC1"/>
  <w15:chartTrackingRefBased/>
  <w15:docId w15:val="{3C9DC495-9204-439F-A0C8-4D9B7EE0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0BA"/>
    <w:rPr>
      <w:rFonts w:ascii="Times New Roman" w:hAnsi="Times New Roman"/>
      <w:kern w:val="0"/>
      <w:sz w:val="24"/>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35A6"/>
    <w:pPr>
      <w:ind w:left="720"/>
      <w:contextualSpacing/>
    </w:pPr>
  </w:style>
  <w:style w:type="character" w:styleId="Hipervnculo">
    <w:name w:val="Hyperlink"/>
    <w:basedOn w:val="Fuentedeprrafopredeter"/>
    <w:uiPriority w:val="99"/>
    <w:semiHidden/>
    <w:unhideWhenUsed/>
    <w:rsid w:val="00FE6C92"/>
    <w:rPr>
      <w:color w:val="0000FF"/>
      <w:u w:val="single"/>
    </w:rPr>
  </w:style>
  <w:style w:type="character" w:styleId="Textodelmarcadordeposicin">
    <w:name w:val="Placeholder Text"/>
    <w:basedOn w:val="Fuentedeprrafopredeter"/>
    <w:uiPriority w:val="99"/>
    <w:semiHidden/>
    <w:rsid w:val="00DC140C"/>
    <w:rPr>
      <w:color w:val="666666"/>
    </w:rPr>
  </w:style>
  <w:style w:type="paragraph" w:styleId="Descripcin">
    <w:name w:val="caption"/>
    <w:basedOn w:val="Normal"/>
    <w:next w:val="Normal"/>
    <w:uiPriority w:val="35"/>
    <w:unhideWhenUsed/>
    <w:qFormat/>
    <w:rsid w:val="00CF48FC"/>
    <w:pPr>
      <w:spacing w:after="200" w:line="240" w:lineRule="auto"/>
    </w:pPr>
    <w:rPr>
      <w:i/>
      <w:iCs/>
      <w:color w:val="44546A" w:themeColor="text2"/>
      <w:sz w:val="18"/>
      <w:szCs w:val="18"/>
    </w:rPr>
  </w:style>
  <w:style w:type="paragraph" w:styleId="Sinespaciado">
    <w:name w:val="No Spacing"/>
    <w:uiPriority w:val="1"/>
    <w:qFormat/>
    <w:rsid w:val="00B857D8"/>
    <w:pPr>
      <w:spacing w:after="0" w:line="240" w:lineRule="auto"/>
    </w:pPr>
    <w:rPr>
      <w:rFonts w:ascii="Times New Roman" w:hAnsi="Times New Roman"/>
      <w:kern w:val="0"/>
      <w:sz w:val="24"/>
      <w14:ligatures w14:val="none"/>
    </w:rPr>
  </w:style>
  <w:style w:type="table" w:styleId="Tablanormal2">
    <w:name w:val="Plain Table 2"/>
    <w:basedOn w:val="Tablanormal"/>
    <w:uiPriority w:val="42"/>
    <w:rsid w:val="009957A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39"/>
    <w:rsid w:val="00995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05271">
      <w:bodyDiv w:val="1"/>
      <w:marLeft w:val="0"/>
      <w:marRight w:val="0"/>
      <w:marTop w:val="0"/>
      <w:marBottom w:val="0"/>
      <w:divBdr>
        <w:top w:val="none" w:sz="0" w:space="0" w:color="auto"/>
        <w:left w:val="none" w:sz="0" w:space="0" w:color="auto"/>
        <w:bottom w:val="none" w:sz="0" w:space="0" w:color="auto"/>
        <w:right w:val="none" w:sz="0" w:space="0" w:color="auto"/>
      </w:divBdr>
    </w:div>
    <w:div w:id="190191983">
      <w:bodyDiv w:val="1"/>
      <w:marLeft w:val="0"/>
      <w:marRight w:val="0"/>
      <w:marTop w:val="0"/>
      <w:marBottom w:val="0"/>
      <w:divBdr>
        <w:top w:val="none" w:sz="0" w:space="0" w:color="auto"/>
        <w:left w:val="none" w:sz="0" w:space="0" w:color="auto"/>
        <w:bottom w:val="none" w:sz="0" w:space="0" w:color="auto"/>
        <w:right w:val="none" w:sz="0" w:space="0" w:color="auto"/>
      </w:divBdr>
    </w:div>
    <w:div w:id="305626938">
      <w:bodyDiv w:val="1"/>
      <w:marLeft w:val="0"/>
      <w:marRight w:val="0"/>
      <w:marTop w:val="0"/>
      <w:marBottom w:val="0"/>
      <w:divBdr>
        <w:top w:val="none" w:sz="0" w:space="0" w:color="auto"/>
        <w:left w:val="none" w:sz="0" w:space="0" w:color="auto"/>
        <w:bottom w:val="none" w:sz="0" w:space="0" w:color="auto"/>
        <w:right w:val="none" w:sz="0" w:space="0" w:color="auto"/>
      </w:divBdr>
    </w:div>
    <w:div w:id="324358283">
      <w:bodyDiv w:val="1"/>
      <w:marLeft w:val="0"/>
      <w:marRight w:val="0"/>
      <w:marTop w:val="0"/>
      <w:marBottom w:val="0"/>
      <w:divBdr>
        <w:top w:val="none" w:sz="0" w:space="0" w:color="auto"/>
        <w:left w:val="none" w:sz="0" w:space="0" w:color="auto"/>
        <w:bottom w:val="none" w:sz="0" w:space="0" w:color="auto"/>
        <w:right w:val="none" w:sz="0" w:space="0" w:color="auto"/>
      </w:divBdr>
    </w:div>
    <w:div w:id="447547836">
      <w:bodyDiv w:val="1"/>
      <w:marLeft w:val="0"/>
      <w:marRight w:val="0"/>
      <w:marTop w:val="0"/>
      <w:marBottom w:val="0"/>
      <w:divBdr>
        <w:top w:val="none" w:sz="0" w:space="0" w:color="auto"/>
        <w:left w:val="none" w:sz="0" w:space="0" w:color="auto"/>
        <w:bottom w:val="none" w:sz="0" w:space="0" w:color="auto"/>
        <w:right w:val="none" w:sz="0" w:space="0" w:color="auto"/>
      </w:divBdr>
    </w:div>
    <w:div w:id="606815699">
      <w:bodyDiv w:val="1"/>
      <w:marLeft w:val="0"/>
      <w:marRight w:val="0"/>
      <w:marTop w:val="0"/>
      <w:marBottom w:val="0"/>
      <w:divBdr>
        <w:top w:val="none" w:sz="0" w:space="0" w:color="auto"/>
        <w:left w:val="none" w:sz="0" w:space="0" w:color="auto"/>
        <w:bottom w:val="none" w:sz="0" w:space="0" w:color="auto"/>
        <w:right w:val="none" w:sz="0" w:space="0" w:color="auto"/>
      </w:divBdr>
    </w:div>
    <w:div w:id="963467064">
      <w:bodyDiv w:val="1"/>
      <w:marLeft w:val="0"/>
      <w:marRight w:val="0"/>
      <w:marTop w:val="0"/>
      <w:marBottom w:val="0"/>
      <w:divBdr>
        <w:top w:val="none" w:sz="0" w:space="0" w:color="auto"/>
        <w:left w:val="none" w:sz="0" w:space="0" w:color="auto"/>
        <w:bottom w:val="none" w:sz="0" w:space="0" w:color="auto"/>
        <w:right w:val="none" w:sz="0" w:space="0" w:color="auto"/>
      </w:divBdr>
    </w:div>
    <w:div w:id="986741065">
      <w:bodyDiv w:val="1"/>
      <w:marLeft w:val="0"/>
      <w:marRight w:val="0"/>
      <w:marTop w:val="0"/>
      <w:marBottom w:val="0"/>
      <w:divBdr>
        <w:top w:val="none" w:sz="0" w:space="0" w:color="auto"/>
        <w:left w:val="none" w:sz="0" w:space="0" w:color="auto"/>
        <w:bottom w:val="none" w:sz="0" w:space="0" w:color="auto"/>
        <w:right w:val="none" w:sz="0" w:space="0" w:color="auto"/>
      </w:divBdr>
    </w:div>
    <w:div w:id="1744908122">
      <w:bodyDiv w:val="1"/>
      <w:marLeft w:val="0"/>
      <w:marRight w:val="0"/>
      <w:marTop w:val="0"/>
      <w:marBottom w:val="0"/>
      <w:divBdr>
        <w:top w:val="none" w:sz="0" w:space="0" w:color="auto"/>
        <w:left w:val="none" w:sz="0" w:space="0" w:color="auto"/>
        <w:bottom w:val="none" w:sz="0" w:space="0" w:color="auto"/>
        <w:right w:val="none" w:sz="0" w:space="0" w:color="auto"/>
      </w:divBdr>
    </w:div>
    <w:div w:id="1831485721">
      <w:bodyDiv w:val="1"/>
      <w:marLeft w:val="0"/>
      <w:marRight w:val="0"/>
      <w:marTop w:val="0"/>
      <w:marBottom w:val="0"/>
      <w:divBdr>
        <w:top w:val="none" w:sz="0" w:space="0" w:color="auto"/>
        <w:left w:val="none" w:sz="0" w:space="0" w:color="auto"/>
        <w:bottom w:val="none" w:sz="0" w:space="0" w:color="auto"/>
        <w:right w:val="none" w:sz="0" w:space="0" w:color="auto"/>
      </w:divBdr>
    </w:div>
    <w:div w:id="192703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https://unachedu-my.sharepoint.com/personal/ery_guilcapi_unach_edu_ec/Documents/S&#201;PTIMO/ICC/ICC-OBSERVATORI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'ICC GLOBAL'!$B$27</c:f>
              <c:strCache>
                <c:ptCount val="1"/>
                <c:pt idx="0">
                  <c:v>ICC Nacional</c:v>
                </c:pt>
              </c:strCache>
            </c:strRef>
          </c:tx>
          <c:spPr>
            <a:solidFill>
              <a:srgbClr val="2F5597"/>
            </a:solidFill>
            <a:ln>
              <a:noFill/>
            </a:ln>
            <a:effectLst/>
          </c:spPr>
          <c:invertIfNegative val="0"/>
          <c:cat>
            <c:strRef>
              <c:f>'ICC GLOBAL'!$C$23:$L$23</c:f>
              <c:strCache>
                <c:ptCount val="10"/>
                <c:pt idx="0">
                  <c:v>Agosto 2021</c:v>
                </c:pt>
                <c:pt idx="1">
                  <c:v>Febrero 2022</c:v>
                </c:pt>
                <c:pt idx="2">
                  <c:v>Junio 2022</c:v>
                </c:pt>
                <c:pt idx="3">
                  <c:v>Enero 2023</c:v>
                </c:pt>
                <c:pt idx="4">
                  <c:v>Mayo 2023</c:v>
                </c:pt>
                <c:pt idx="5">
                  <c:v>Noviembre 2023</c:v>
                </c:pt>
                <c:pt idx="6">
                  <c:v>Diciembre 2023</c:v>
                </c:pt>
                <c:pt idx="7">
                  <c:v>Abril 2024</c:v>
                </c:pt>
                <c:pt idx="8">
                  <c:v>Octubre 2024</c:v>
                </c:pt>
                <c:pt idx="9">
                  <c:v>Noviembre 2024</c:v>
                </c:pt>
              </c:strCache>
            </c:strRef>
          </c:cat>
          <c:val>
            <c:numRef>
              <c:f>'ICC GLOBAL'!$C$27:$L$27</c:f>
              <c:numCache>
                <c:formatCode>0.00</c:formatCode>
                <c:ptCount val="10"/>
                <c:pt idx="0">
                  <c:v>37.01</c:v>
                </c:pt>
                <c:pt idx="1">
                  <c:v>35.06</c:v>
                </c:pt>
                <c:pt idx="2">
                  <c:v>35.1</c:v>
                </c:pt>
                <c:pt idx="3">
                  <c:v>36.5</c:v>
                </c:pt>
                <c:pt idx="4">
                  <c:v>34.04</c:v>
                </c:pt>
                <c:pt idx="5">
                  <c:v>36.1</c:v>
                </c:pt>
                <c:pt idx="6">
                  <c:v>37.6</c:v>
                </c:pt>
                <c:pt idx="7">
                  <c:v>37.32</c:v>
                </c:pt>
                <c:pt idx="8">
                  <c:v>38.35</c:v>
                </c:pt>
                <c:pt idx="9">
                  <c:v>36.31</c:v>
                </c:pt>
              </c:numCache>
            </c:numRef>
          </c:val>
          <c:extLst>
            <c:ext xmlns:c16="http://schemas.microsoft.com/office/drawing/2014/chart" uri="{C3380CC4-5D6E-409C-BE32-E72D297353CC}">
              <c16:uniqueId val="{00000000-0E7B-41D3-84E5-9BF0528DE966}"/>
            </c:ext>
          </c:extLst>
        </c:ser>
        <c:ser>
          <c:idx val="1"/>
          <c:order val="1"/>
          <c:tx>
            <c:strRef>
              <c:f>'ICC GLOBAL'!$B$26</c:f>
              <c:strCache>
                <c:ptCount val="1"/>
                <c:pt idx="0">
                  <c:v>ICC Riobamba</c:v>
                </c:pt>
              </c:strCache>
            </c:strRef>
          </c:tx>
          <c:spPr>
            <a:solidFill>
              <a:srgbClr val="7F7F7F"/>
            </a:solidFill>
            <a:ln>
              <a:noFill/>
            </a:ln>
            <a:effectLst/>
          </c:spPr>
          <c:invertIfNegative val="0"/>
          <c:cat>
            <c:strRef>
              <c:f>'ICC GLOBAL'!$C$23:$L$23</c:f>
              <c:strCache>
                <c:ptCount val="10"/>
                <c:pt idx="0">
                  <c:v>Agosto 2021</c:v>
                </c:pt>
                <c:pt idx="1">
                  <c:v>Febrero 2022</c:v>
                </c:pt>
                <c:pt idx="2">
                  <c:v>Junio 2022</c:v>
                </c:pt>
                <c:pt idx="3">
                  <c:v>Enero 2023</c:v>
                </c:pt>
                <c:pt idx="4">
                  <c:v>Mayo 2023</c:v>
                </c:pt>
                <c:pt idx="5">
                  <c:v>Noviembre 2023</c:v>
                </c:pt>
                <c:pt idx="6">
                  <c:v>Diciembre 2023</c:v>
                </c:pt>
                <c:pt idx="7">
                  <c:v>Abril 2024</c:v>
                </c:pt>
                <c:pt idx="8">
                  <c:v>Octubre 2024</c:v>
                </c:pt>
                <c:pt idx="9">
                  <c:v>Noviembre 2024</c:v>
                </c:pt>
              </c:strCache>
            </c:strRef>
          </c:cat>
          <c:val>
            <c:numRef>
              <c:f>'ICC GLOBAL'!$C$26:$L$26</c:f>
              <c:numCache>
                <c:formatCode>0.00</c:formatCode>
                <c:ptCount val="10"/>
                <c:pt idx="0">
                  <c:v>46.61</c:v>
                </c:pt>
                <c:pt idx="1">
                  <c:v>41.98</c:v>
                </c:pt>
                <c:pt idx="2">
                  <c:v>35.69</c:v>
                </c:pt>
                <c:pt idx="3">
                  <c:v>46.72</c:v>
                </c:pt>
                <c:pt idx="4">
                  <c:v>42.677999999999997</c:v>
                </c:pt>
                <c:pt idx="5">
                  <c:v>50.77</c:v>
                </c:pt>
                <c:pt idx="6">
                  <c:v>48.268000000000001</c:v>
                </c:pt>
                <c:pt idx="7">
                  <c:v>42.1</c:v>
                </c:pt>
                <c:pt idx="8">
                  <c:v>36.270000000000003</c:v>
                </c:pt>
                <c:pt idx="9">
                  <c:v>37.700000000000003</c:v>
                </c:pt>
              </c:numCache>
            </c:numRef>
          </c:val>
          <c:extLst>
            <c:ext xmlns:c16="http://schemas.microsoft.com/office/drawing/2014/chart" uri="{C3380CC4-5D6E-409C-BE32-E72D297353CC}">
              <c16:uniqueId val="{00000001-0E7B-41D3-84E5-9BF0528DE966}"/>
            </c:ext>
          </c:extLst>
        </c:ser>
        <c:dLbls>
          <c:showLegendKey val="0"/>
          <c:showVal val="0"/>
          <c:showCatName val="0"/>
          <c:showSerName val="0"/>
          <c:showPercent val="0"/>
          <c:showBubbleSize val="0"/>
        </c:dLbls>
        <c:gapWidth val="219"/>
        <c:overlap val="-27"/>
        <c:axId val="2035202800"/>
        <c:axId val="2035200720"/>
      </c:barChart>
      <c:catAx>
        <c:axId val="2035202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EC"/>
          </a:p>
        </c:txPr>
        <c:crossAx val="2035200720"/>
        <c:crosses val="autoZero"/>
        <c:auto val="1"/>
        <c:lblAlgn val="ctr"/>
        <c:lblOffset val="100"/>
        <c:noMultiLvlLbl val="0"/>
      </c:catAx>
      <c:valAx>
        <c:axId val="20352007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EC"/>
          </a:p>
        </c:txPr>
        <c:crossAx val="2035202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s-EC"/>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0890F-126A-4F2D-9F8E-B9C22F0D3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470</Words>
  <Characters>2587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Jamileth Granda Paredes</dc:creator>
  <cp:keywords/>
  <dc:description/>
  <cp:lastModifiedBy>Karina Alexandra Alvarez Basantes</cp:lastModifiedBy>
  <cp:revision>4</cp:revision>
  <cp:lastPrinted>2024-12-04T21:21:00Z</cp:lastPrinted>
  <dcterms:created xsi:type="dcterms:W3CDTF">2024-12-28T02:38:00Z</dcterms:created>
  <dcterms:modified xsi:type="dcterms:W3CDTF">2025-05-19T16:57:00Z</dcterms:modified>
</cp:coreProperties>
</file>