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7DDD" w14:textId="77777777" w:rsidR="00D15E26" w:rsidRDefault="00000000">
      <w:pPr>
        <w:rPr>
          <w:b/>
          <w:bCs/>
          <w:lang w:val="es-ES"/>
        </w:rPr>
      </w:pPr>
      <w:r>
        <w:rPr>
          <w:b/>
          <w:bCs/>
        </w:rPr>
        <w:t>C</w:t>
      </w:r>
      <w:r>
        <w:rPr>
          <w:b/>
          <w:bCs/>
          <w:lang w:val="es-ES"/>
        </w:rPr>
        <w:t>aso</w:t>
      </w:r>
    </w:p>
    <w:p w14:paraId="33B36925" w14:textId="77777777" w:rsidR="00D15E26" w:rsidRDefault="00D15E26">
      <w:pPr>
        <w:jc w:val="both"/>
        <w:rPr>
          <w:b/>
          <w:bCs/>
        </w:rPr>
      </w:pPr>
    </w:p>
    <w:p w14:paraId="04D56C9D" w14:textId="77777777" w:rsidR="00D15E26" w:rsidRDefault="00000000">
      <w:pPr>
        <w:jc w:val="both"/>
        <w:rPr>
          <w:b/>
          <w:bCs/>
        </w:rPr>
      </w:pPr>
      <w:r>
        <w:rPr>
          <w:b/>
          <w:bCs/>
        </w:rPr>
        <w:t xml:space="preserve">Anamnesis </w:t>
      </w:r>
    </w:p>
    <w:p w14:paraId="0AB4710B" w14:textId="5CEDFA41" w:rsidR="00D15E26" w:rsidRDefault="00000000">
      <w:pPr>
        <w:jc w:val="both"/>
      </w:pPr>
      <w:r>
        <w:t xml:space="preserve">Joaquina tiene dos años y 11 meses, sus padres manifiestan que se encuentran realizándole una </w:t>
      </w:r>
      <w:r w:rsidR="0051224B">
        <w:t>evaluación</w:t>
      </w:r>
      <w:r>
        <w:t xml:space="preserve">, porque denotan ciertos comportamientos </w:t>
      </w:r>
      <w:proofErr w:type="spellStart"/>
      <w:r>
        <w:t>extraños</w:t>
      </w:r>
      <w:proofErr w:type="spellEnd"/>
      <w:r>
        <w:t>. Uno de esos</w:t>
      </w:r>
      <w:r w:rsidR="00B92B88">
        <w:t xml:space="preserve"> </w:t>
      </w:r>
      <w:r>
        <w:t xml:space="preserve">comportamientos son como por ejemplo: que la </w:t>
      </w:r>
      <w:proofErr w:type="spellStart"/>
      <w:r>
        <w:t>niña</w:t>
      </w:r>
      <w:proofErr w:type="spellEnd"/>
      <w:r>
        <w:t xml:space="preserve"> no reacciona ante ciertos </w:t>
      </w:r>
      <w:r w:rsidR="0051224B">
        <w:t>estímulos</w:t>
      </w:r>
      <w:r>
        <w:t xml:space="preserve"> como un objeto que se cae al suelo, un ruido estridente.</w:t>
      </w:r>
    </w:p>
    <w:p w14:paraId="47617AB4" w14:textId="77777777" w:rsidR="00D15E26" w:rsidRDefault="00D15E26">
      <w:pPr>
        <w:jc w:val="both"/>
      </w:pPr>
    </w:p>
    <w:p w14:paraId="01AD1EB7" w14:textId="77777777" w:rsidR="00D15E26" w:rsidRDefault="00000000">
      <w:pPr>
        <w:jc w:val="both"/>
      </w:pPr>
      <w:r>
        <w:t xml:space="preserve">Los padres explican que el desarrollo de Joaquina fue aparentemente normal hasta los 12-13 meses de edad: miraba, </w:t>
      </w:r>
      <w:proofErr w:type="spellStart"/>
      <w:r>
        <w:t>reía</w:t>
      </w:r>
      <w:proofErr w:type="spellEnd"/>
      <w:r>
        <w:t xml:space="preserve">, gateo a los 9 meses, jugaba a esconderse, etc. A partir de esa edad </w:t>
      </w:r>
      <w:proofErr w:type="spellStart"/>
      <w:r>
        <w:t>empezo</w:t>
      </w:r>
      <w:proofErr w:type="spellEnd"/>
      <w:r>
        <w:t xml:space="preserve">́ la </w:t>
      </w:r>
      <w:proofErr w:type="spellStart"/>
      <w:r>
        <w:t>preocupación</w:t>
      </w:r>
      <w:proofErr w:type="spellEnd"/>
      <w:r>
        <w:t xml:space="preserve"> de los padres porque disminuyó el contacto ocular de su hija, no </w:t>
      </w:r>
      <w:proofErr w:type="spellStart"/>
      <w:r>
        <w:t>decía</w:t>
      </w:r>
      <w:proofErr w:type="spellEnd"/>
      <w:r>
        <w:t xml:space="preserve"> «papá» ni «mamá», se mostraba </w:t>
      </w:r>
      <w:proofErr w:type="spellStart"/>
      <w:r>
        <w:t>más</w:t>
      </w:r>
      <w:proofErr w:type="spellEnd"/>
      <w:r>
        <w:t xml:space="preserve"> seria, dejó de comer algunos alimentos </w:t>
      </w:r>
      <w:proofErr w:type="spellStart"/>
      <w:r>
        <w:t>sólidos</w:t>
      </w:r>
      <w:proofErr w:type="spellEnd"/>
      <w:r>
        <w:t xml:space="preserve">, etc. Desde hace aproximadamente medio </w:t>
      </w:r>
      <w:proofErr w:type="spellStart"/>
      <w:r>
        <w:t>año</w:t>
      </w:r>
      <w:proofErr w:type="spellEnd"/>
      <w:r>
        <w:t xml:space="preserve"> aletea cuando algo le gusta mucho (puntualmente). </w:t>
      </w:r>
    </w:p>
    <w:p w14:paraId="6980055B" w14:textId="77777777" w:rsidR="00D15E26" w:rsidRDefault="00D15E26">
      <w:pPr>
        <w:jc w:val="both"/>
      </w:pPr>
    </w:p>
    <w:p w14:paraId="6F5A5AB6" w14:textId="77777777" w:rsidR="00D15E26" w:rsidRDefault="00000000">
      <w:pPr>
        <w:jc w:val="both"/>
      </w:pPr>
      <w:proofErr w:type="spellStart"/>
      <w:r>
        <w:t>Comenzo</w:t>
      </w:r>
      <w:proofErr w:type="spellEnd"/>
      <w:r>
        <w:t>́ a caminar a los 14 meses. Actualmente no habla (</w:t>
      </w:r>
      <w:proofErr w:type="spellStart"/>
      <w:r>
        <w:t>sólo</w:t>
      </w:r>
      <w:proofErr w:type="spellEnd"/>
      <w:r>
        <w:t xml:space="preserve"> emite sonidos </w:t>
      </w:r>
      <w:proofErr w:type="spellStart"/>
      <w:r>
        <w:t>vocálicos</w:t>
      </w:r>
      <w:proofErr w:type="spellEnd"/>
      <w:r>
        <w:t xml:space="preserve"> o cadenas de </w:t>
      </w:r>
      <w:proofErr w:type="spellStart"/>
      <w:r>
        <w:t>sílabas</w:t>
      </w:r>
      <w:proofErr w:type="spellEnd"/>
      <w:r>
        <w:t xml:space="preserve">), no tiene adquirido el control de </w:t>
      </w:r>
      <w:proofErr w:type="spellStart"/>
      <w:r>
        <w:t>esfínteres</w:t>
      </w:r>
      <w:proofErr w:type="spellEnd"/>
      <w:r>
        <w:t xml:space="preserve">, es </w:t>
      </w:r>
      <w:proofErr w:type="spellStart"/>
      <w:r>
        <w:t>cariñosa</w:t>
      </w:r>
      <w:proofErr w:type="spellEnd"/>
      <w:r>
        <w:t xml:space="preserve"> con sus familiares, pero no busca a los otros </w:t>
      </w:r>
      <w:proofErr w:type="spellStart"/>
      <w:r>
        <w:t>niños</w:t>
      </w:r>
      <w:proofErr w:type="spellEnd"/>
      <w:r>
        <w:t xml:space="preserve"> para relacionarse con ellos en la </w:t>
      </w:r>
      <w:proofErr w:type="spellStart"/>
      <w:r>
        <w:t>guardería</w:t>
      </w:r>
      <w:proofErr w:type="spellEnd"/>
      <w:r>
        <w:t xml:space="preserve">, no </w:t>
      </w:r>
      <w:proofErr w:type="spellStart"/>
      <w:r>
        <w:t>señala</w:t>
      </w:r>
      <w:proofErr w:type="spellEnd"/>
      <w:r>
        <w:t xml:space="preserve">, va a buscar a los padres para pedir ayuda si ella </w:t>
      </w:r>
      <w:proofErr w:type="spellStart"/>
      <w:r>
        <w:t>solA</w:t>
      </w:r>
      <w:proofErr w:type="spellEnd"/>
      <w:r>
        <w:t xml:space="preserve"> no puede (les estira del brazo o levanta sus brazos para que la cojan), come alimentos triturados (rechaza los alimentos </w:t>
      </w:r>
      <w:proofErr w:type="spellStart"/>
      <w:r>
        <w:t>sólidos</w:t>
      </w:r>
      <w:proofErr w:type="spellEnd"/>
      <w:r>
        <w:t xml:space="preserve"> que antes </w:t>
      </w:r>
      <w:proofErr w:type="spellStart"/>
      <w:r>
        <w:t>comía</w:t>
      </w:r>
      <w:proofErr w:type="spellEnd"/>
      <w:r>
        <w:t xml:space="preserve">) y </w:t>
      </w:r>
      <w:proofErr w:type="spellStart"/>
      <w:r>
        <w:t>todavía</w:t>
      </w:r>
      <w:proofErr w:type="spellEnd"/>
      <w:r>
        <w:t xml:space="preserve"> mama para dormirse o cuando está enferma (la ayuda a relajarse). Los padres refieren que no reacciona al dolor cuando se cae y que se altera con los chillidos y lloros de otros </w:t>
      </w:r>
      <w:proofErr w:type="spellStart"/>
      <w:r>
        <w:t>niños</w:t>
      </w:r>
      <w:proofErr w:type="spellEnd"/>
      <w:r>
        <w:t xml:space="preserve">. Si los padres no la interrumpen, puede pasarse mucho tiempo realizando la misma </w:t>
      </w:r>
      <w:proofErr w:type="spellStart"/>
      <w:r>
        <w:t>acción</w:t>
      </w:r>
      <w:proofErr w:type="spellEnd"/>
      <w:r>
        <w:t xml:space="preserve"> (es muy repetitiva). Juega muy poco de manera funcional, y utiliza los juguetes para golpearlos continuadamente contra el suelo o la mesa. Le gustan los objetos redondos y reacciona con intensas rabietas si se los quitan de las manos. Los padres refieren que cuando le cambian de rutinas reacciona </w:t>
      </w:r>
      <w:proofErr w:type="spellStart"/>
      <w:r>
        <w:t>también</w:t>
      </w:r>
      <w:proofErr w:type="spellEnd"/>
      <w:r>
        <w:t xml:space="preserve"> con protesta o rabietas. </w:t>
      </w:r>
    </w:p>
    <w:p w14:paraId="7856E31D" w14:textId="77777777" w:rsidR="00D15E26" w:rsidRDefault="00D15E26">
      <w:pPr>
        <w:jc w:val="both"/>
      </w:pPr>
    </w:p>
    <w:p w14:paraId="3853B810" w14:textId="77777777" w:rsidR="00D15E26" w:rsidRDefault="00000000">
      <w:pPr>
        <w:jc w:val="both"/>
      </w:pPr>
      <w:r>
        <w:t xml:space="preserve">Es hija </w:t>
      </w:r>
      <w:proofErr w:type="spellStart"/>
      <w:r>
        <w:t>único</w:t>
      </w:r>
      <w:proofErr w:type="spellEnd"/>
      <w:r>
        <w:t xml:space="preserve">, y los padres inicialmente no refieren </w:t>
      </w:r>
      <w:proofErr w:type="spellStart"/>
      <w:r>
        <w:t>ningún</w:t>
      </w:r>
      <w:proofErr w:type="spellEnd"/>
      <w:r>
        <w:t xml:space="preserve"> antecedente de importancia en la familia, aunque comentan que el abuelo paterno tiene un </w:t>
      </w:r>
      <w:proofErr w:type="spellStart"/>
      <w:r>
        <w:t>carácter</w:t>
      </w:r>
      <w:proofErr w:type="spellEnd"/>
      <w:r>
        <w:t xml:space="preserve"> «especial», nunca ha tenido amigos, es inflexible con las otras personas y no soporta el bullicio y el ruido. Una prima de la madre </w:t>
      </w:r>
      <w:proofErr w:type="spellStart"/>
      <w:r>
        <w:t>había</w:t>
      </w:r>
      <w:proofErr w:type="spellEnd"/>
      <w:r>
        <w:t xml:space="preserve"> presentado un retraso en el lenguaje (recuerda que </w:t>
      </w:r>
      <w:proofErr w:type="spellStart"/>
      <w:r>
        <w:t>comenzo</w:t>
      </w:r>
      <w:proofErr w:type="spellEnd"/>
      <w:r>
        <w:t xml:space="preserve">́ a hablar bien </w:t>
      </w:r>
      <w:proofErr w:type="spellStart"/>
      <w:r>
        <w:t>después</w:t>
      </w:r>
      <w:proofErr w:type="spellEnd"/>
      <w:r>
        <w:t xml:space="preserve"> de los 5 </w:t>
      </w:r>
      <w:proofErr w:type="spellStart"/>
      <w:r>
        <w:t>años</w:t>
      </w:r>
      <w:proofErr w:type="spellEnd"/>
      <w:r>
        <w:t xml:space="preserve">), y la madre ha escuchado que a otro primo materno le han diagnosticado un trastorno por </w:t>
      </w:r>
      <w:proofErr w:type="spellStart"/>
      <w:r>
        <w:t>déficit</w:t>
      </w:r>
      <w:proofErr w:type="spellEnd"/>
      <w:r>
        <w:t xml:space="preserve"> de </w:t>
      </w:r>
      <w:proofErr w:type="spellStart"/>
      <w:r>
        <w:t>atención</w:t>
      </w:r>
      <w:proofErr w:type="spellEnd"/>
      <w:r>
        <w:t xml:space="preserve"> e hiperactividad (TDAH) y toma </w:t>
      </w:r>
      <w:proofErr w:type="spellStart"/>
      <w:r>
        <w:t>medicación</w:t>
      </w:r>
      <w:proofErr w:type="spellEnd"/>
      <w:r>
        <w:t xml:space="preserve">. </w:t>
      </w:r>
    </w:p>
    <w:p w14:paraId="7EC90045" w14:textId="77777777" w:rsidR="00D15E26" w:rsidRDefault="00D15E26">
      <w:pPr>
        <w:jc w:val="both"/>
      </w:pPr>
    </w:p>
    <w:p w14:paraId="001C5BB2" w14:textId="77777777" w:rsidR="00D15E26" w:rsidRDefault="00000000">
      <w:pPr>
        <w:jc w:val="both"/>
      </w:pPr>
      <w:r>
        <w:t xml:space="preserve">Joaquina no ha tenido antecedentes </w:t>
      </w:r>
      <w:proofErr w:type="spellStart"/>
      <w:r>
        <w:t>médicos</w:t>
      </w:r>
      <w:proofErr w:type="spellEnd"/>
      <w:r>
        <w:t xml:space="preserve"> de relevancia. </w:t>
      </w:r>
    </w:p>
    <w:p w14:paraId="5AF65C42" w14:textId="77777777" w:rsidR="00D15E26" w:rsidRDefault="00D15E26">
      <w:pPr>
        <w:jc w:val="both"/>
      </w:pPr>
    </w:p>
    <w:p w14:paraId="383E2A58" w14:textId="77777777" w:rsidR="00D15E26" w:rsidRDefault="00000000">
      <w:pPr>
        <w:jc w:val="both"/>
        <w:rPr>
          <w:b/>
          <w:bCs/>
        </w:rPr>
      </w:pPr>
      <w:r>
        <w:rPr>
          <w:b/>
          <w:bCs/>
        </w:rPr>
        <w:t>Instrumentos aplicados</w:t>
      </w:r>
    </w:p>
    <w:p w14:paraId="43EB3614" w14:textId="77777777" w:rsidR="00D15E26" w:rsidRDefault="00000000">
      <w:pPr>
        <w:jc w:val="both"/>
        <w:rPr>
          <w:i/>
          <w:iCs/>
        </w:rPr>
      </w:pPr>
      <w:r>
        <w:rPr>
          <w:i/>
          <w:iCs/>
        </w:rPr>
        <w:t xml:space="preserve">Escala de Comportamiento de las Funciones Ejecutivas (BRIEF-P) </w:t>
      </w:r>
    </w:p>
    <w:p w14:paraId="31867B60" w14:textId="77777777" w:rsidR="00D15E26" w:rsidRDefault="00000000">
      <w:pPr>
        <w:jc w:val="both"/>
      </w:pPr>
      <w:r>
        <w:t xml:space="preserve">La </w:t>
      </w:r>
      <w:proofErr w:type="spellStart"/>
      <w:r>
        <w:t>versión</w:t>
      </w:r>
      <w:proofErr w:type="spellEnd"/>
      <w:r>
        <w:t xml:space="preserve"> infantil de la BRIEF-P permite evaluar los aspectos </w:t>
      </w:r>
      <w:proofErr w:type="spellStart"/>
      <w:r>
        <w:t>más</w:t>
      </w:r>
      <w:proofErr w:type="spellEnd"/>
      <w:r>
        <w:t xml:space="preserve"> cotidianos, conductuales y observables de las funciones ejecutivas en </w:t>
      </w:r>
      <w:proofErr w:type="spellStart"/>
      <w:r>
        <w:t>niños</w:t>
      </w:r>
      <w:proofErr w:type="spellEnd"/>
      <w:r>
        <w:t xml:space="preserve"> de 2 a 5 </w:t>
      </w:r>
      <w:proofErr w:type="spellStart"/>
      <w:r>
        <w:t>años</w:t>
      </w:r>
      <w:proofErr w:type="spellEnd"/>
      <w:r>
        <w:t xml:space="preserve">, tanto en el entorno escolar como en el familiar. Consta de 5 escalas </w:t>
      </w:r>
      <w:proofErr w:type="spellStart"/>
      <w:r>
        <w:t>clínicas</w:t>
      </w:r>
      <w:proofErr w:type="spellEnd"/>
      <w:r>
        <w:t xml:space="preserve"> (</w:t>
      </w:r>
      <w:proofErr w:type="spellStart"/>
      <w:r>
        <w:t>inhibición</w:t>
      </w:r>
      <w:proofErr w:type="spellEnd"/>
      <w:r>
        <w:t xml:space="preserve">, flexibilidad, control emocional, memoria de trabajo, </w:t>
      </w:r>
      <w:proofErr w:type="spellStart"/>
      <w:r>
        <w:t>planificación</w:t>
      </w:r>
      <w:proofErr w:type="spellEnd"/>
      <w:r>
        <w:t>/</w:t>
      </w:r>
      <w:proofErr w:type="spellStart"/>
      <w:r>
        <w:t>organización</w:t>
      </w:r>
      <w:proofErr w:type="spellEnd"/>
      <w:r>
        <w:t xml:space="preserve">) agrupadas en 3 </w:t>
      </w:r>
      <w:proofErr w:type="spellStart"/>
      <w:r>
        <w:t>índices</w:t>
      </w:r>
      <w:proofErr w:type="spellEnd"/>
      <w:r>
        <w:t xml:space="preserve"> (</w:t>
      </w:r>
      <w:proofErr w:type="spellStart"/>
      <w:r>
        <w:t>índice</w:t>
      </w:r>
      <w:proofErr w:type="spellEnd"/>
      <w:r>
        <w:t xml:space="preserve"> de autocontrol inhibitorio, </w:t>
      </w:r>
      <w:proofErr w:type="spellStart"/>
      <w:r>
        <w:t>índice</w:t>
      </w:r>
      <w:proofErr w:type="spellEnd"/>
      <w:r>
        <w:t xml:space="preserve"> de flexibilidad e </w:t>
      </w:r>
      <w:proofErr w:type="spellStart"/>
      <w:r>
        <w:t>índice</w:t>
      </w:r>
      <w:proofErr w:type="spellEnd"/>
      <w:r>
        <w:t xml:space="preserve"> de </w:t>
      </w:r>
      <w:proofErr w:type="spellStart"/>
      <w:r>
        <w:t>metacognición</w:t>
      </w:r>
      <w:proofErr w:type="spellEnd"/>
      <w:r>
        <w:t xml:space="preserve"> emergente) que, a la vez, se agrupan en una escala o </w:t>
      </w:r>
      <w:proofErr w:type="spellStart"/>
      <w:r>
        <w:t>índice</w:t>
      </w:r>
      <w:proofErr w:type="spellEnd"/>
      <w:r>
        <w:t xml:space="preserve"> global (IGE). Las puntuaciones </w:t>
      </w:r>
      <w:proofErr w:type="spellStart"/>
      <w:r>
        <w:t>típicas</w:t>
      </w:r>
      <w:proofErr w:type="spellEnd"/>
      <w:r>
        <w:t xml:space="preserve"> tienen una media de 50 y una </w:t>
      </w:r>
      <w:proofErr w:type="spellStart"/>
      <w:r>
        <w:t>desviación</w:t>
      </w:r>
      <w:proofErr w:type="spellEnd"/>
      <w:r>
        <w:t xml:space="preserve"> </w:t>
      </w:r>
      <w:proofErr w:type="spellStart"/>
      <w:r>
        <w:t>estándar</w:t>
      </w:r>
      <w:proofErr w:type="spellEnd"/>
      <w:r>
        <w:t xml:space="preserve"> de 10. Por tanto, consideraremos significativas unas puntuaciones ≥65. </w:t>
      </w:r>
    </w:p>
    <w:p w14:paraId="0F37F11D" w14:textId="77777777" w:rsidR="00D15E26" w:rsidRDefault="00D15E26">
      <w:pPr>
        <w:jc w:val="both"/>
      </w:pPr>
    </w:p>
    <w:p w14:paraId="702993D7" w14:textId="77777777" w:rsidR="00D15E26" w:rsidRDefault="00D15E26">
      <w:pPr>
        <w:jc w:val="both"/>
      </w:pPr>
    </w:p>
    <w:p w14:paraId="061982B0" w14:textId="77777777" w:rsidR="00D15E26" w:rsidRDefault="00000000">
      <w:pPr>
        <w:jc w:val="both"/>
      </w:pPr>
      <w:r>
        <w:rPr>
          <w:noProof/>
        </w:rPr>
        <w:drawing>
          <wp:inline distT="0" distB="0" distL="0" distR="0" wp14:anchorId="702CDADA" wp14:editId="03D4BDB5">
            <wp:extent cx="5400040" cy="4403090"/>
            <wp:effectExtent l="0" t="0" r="0" b="3810"/>
            <wp:docPr id="167233307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33074" name="Imagen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0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75CDA" w14:textId="77777777" w:rsidR="00D15E26" w:rsidRDefault="00D15E26">
      <w:pPr>
        <w:jc w:val="both"/>
      </w:pPr>
    </w:p>
    <w:p w14:paraId="6471D289" w14:textId="77777777" w:rsidR="00D15E26" w:rsidRDefault="00000000">
      <w:pPr>
        <w:tabs>
          <w:tab w:val="left" w:pos="890"/>
        </w:tabs>
        <w:jc w:val="both"/>
        <w:rPr>
          <w:i/>
          <w:iCs/>
        </w:rPr>
      </w:pPr>
      <w:r>
        <w:rPr>
          <w:i/>
          <w:iCs/>
        </w:rPr>
        <w:t xml:space="preserve">Entrevista </w:t>
      </w:r>
      <w:proofErr w:type="spellStart"/>
      <w:r>
        <w:rPr>
          <w:i/>
          <w:iCs/>
        </w:rPr>
        <w:t>diagnóstica</w:t>
      </w:r>
      <w:proofErr w:type="spellEnd"/>
      <w:r>
        <w:rPr>
          <w:i/>
          <w:iCs/>
        </w:rPr>
        <w:t xml:space="preserve"> ADI-R </w:t>
      </w:r>
    </w:p>
    <w:p w14:paraId="7DA6CC93" w14:textId="77777777" w:rsidR="00D15E26" w:rsidRDefault="00000000">
      <w:pPr>
        <w:tabs>
          <w:tab w:val="left" w:pos="890"/>
        </w:tabs>
        <w:jc w:val="both"/>
      </w:pPr>
      <w:r>
        <w:t xml:space="preserve">La ADI-R es una entrevista semiestructurada que se </w:t>
      </w:r>
      <w:proofErr w:type="spellStart"/>
      <w:r>
        <w:t>efectúa</w:t>
      </w:r>
      <w:proofErr w:type="spellEnd"/>
      <w:r>
        <w:t xml:space="preserve"> al progenitor y que permite obtener una </w:t>
      </w:r>
      <w:proofErr w:type="spellStart"/>
      <w:r>
        <w:t>evaluación</w:t>
      </w:r>
      <w:proofErr w:type="spellEnd"/>
      <w:r>
        <w:t xml:space="preserve"> profunda en la que se exploran las 3 grandes </w:t>
      </w:r>
      <w:proofErr w:type="spellStart"/>
      <w:r>
        <w:t>áreas</w:t>
      </w:r>
      <w:proofErr w:type="spellEnd"/>
      <w:r>
        <w:t xml:space="preserve"> nucleares de dificultad del TEA (lenguaje/</w:t>
      </w:r>
      <w:proofErr w:type="spellStart"/>
      <w:r>
        <w:t>comunicación</w:t>
      </w:r>
      <w:proofErr w:type="spellEnd"/>
      <w:r>
        <w:t xml:space="preserve">, interacciones sociales </w:t>
      </w:r>
      <w:proofErr w:type="spellStart"/>
      <w:r>
        <w:t>recíprocas</w:t>
      </w:r>
      <w:proofErr w:type="spellEnd"/>
      <w:r>
        <w:t xml:space="preserve"> y conductas e intereses restringidos, repetitivos y estereotipados) definidas en el DSM-5. La </w:t>
      </w:r>
      <w:proofErr w:type="spellStart"/>
      <w:r>
        <w:t>información</w:t>
      </w:r>
      <w:proofErr w:type="spellEnd"/>
      <w:r>
        <w:t xml:space="preserve"> recogida se codifica y se traslada a unos sencillos y </w:t>
      </w:r>
      <w:proofErr w:type="spellStart"/>
      <w:r>
        <w:t>útiles</w:t>
      </w:r>
      <w:proofErr w:type="spellEnd"/>
      <w:r>
        <w:t xml:space="preserve"> algoritmos que orientan el </w:t>
      </w:r>
      <w:proofErr w:type="spellStart"/>
      <w:r>
        <w:t>diagnóstico</w:t>
      </w:r>
      <w:proofErr w:type="spellEnd"/>
      <w:r>
        <w:t xml:space="preserve"> y la </w:t>
      </w:r>
      <w:proofErr w:type="spellStart"/>
      <w:r>
        <w:t>evaluación</w:t>
      </w:r>
      <w:proofErr w:type="spellEnd"/>
      <w:r>
        <w:t xml:space="preserve"> de la </w:t>
      </w:r>
      <w:proofErr w:type="spellStart"/>
      <w:r>
        <w:t>situación</w:t>
      </w:r>
      <w:proofErr w:type="spellEnd"/>
      <w:r>
        <w:t xml:space="preserve"> actual del sujeto. </w:t>
      </w:r>
    </w:p>
    <w:p w14:paraId="03031872" w14:textId="77777777" w:rsidR="00D15E26" w:rsidRDefault="00000000">
      <w:pPr>
        <w:tabs>
          <w:tab w:val="left" w:pos="890"/>
        </w:tabs>
        <w:jc w:val="both"/>
      </w:pPr>
      <w:r>
        <w:rPr>
          <w:noProof/>
        </w:rPr>
        <w:drawing>
          <wp:inline distT="0" distB="0" distL="0" distR="0" wp14:anchorId="137E7A6F" wp14:editId="762BB835">
            <wp:extent cx="5400040" cy="1891665"/>
            <wp:effectExtent l="0" t="0" r="0" b="635"/>
            <wp:docPr id="96635109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51090" name="Imagen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D7667" w14:textId="77777777" w:rsidR="00D15E26" w:rsidRDefault="00D15E26">
      <w:pPr>
        <w:jc w:val="both"/>
      </w:pPr>
    </w:p>
    <w:p w14:paraId="6D440E9B" w14:textId="77777777" w:rsidR="00D15E26" w:rsidRDefault="00000000">
      <w:pPr>
        <w:jc w:val="both"/>
        <w:rPr>
          <w:i/>
          <w:iCs/>
        </w:rPr>
      </w:pPr>
      <w:r>
        <w:rPr>
          <w:i/>
          <w:iCs/>
        </w:rPr>
        <w:t xml:space="preserve">Escala de </w:t>
      </w:r>
      <w:proofErr w:type="spellStart"/>
      <w:r>
        <w:rPr>
          <w:i/>
          <w:iCs/>
        </w:rPr>
        <w:t>Observación</w:t>
      </w:r>
      <w:proofErr w:type="spellEnd"/>
      <w:r>
        <w:rPr>
          <w:i/>
          <w:iCs/>
        </w:rPr>
        <w:t xml:space="preserve"> para el </w:t>
      </w:r>
      <w:proofErr w:type="spellStart"/>
      <w:r>
        <w:rPr>
          <w:i/>
          <w:iCs/>
        </w:rPr>
        <w:t>Diagnóstico</w:t>
      </w:r>
      <w:proofErr w:type="spellEnd"/>
      <w:r>
        <w:rPr>
          <w:i/>
          <w:iCs/>
        </w:rPr>
        <w:t xml:space="preserve"> del Autismo-2 (ADOS-2) </w:t>
      </w:r>
    </w:p>
    <w:p w14:paraId="66F14233" w14:textId="77777777" w:rsidR="00D15E26" w:rsidRDefault="00D15E26">
      <w:pPr>
        <w:jc w:val="both"/>
      </w:pPr>
    </w:p>
    <w:p w14:paraId="50857BF6" w14:textId="77777777" w:rsidR="00D15E26" w:rsidRDefault="00000000">
      <w:pPr>
        <w:jc w:val="both"/>
      </w:pPr>
      <w:r>
        <w:t xml:space="preserve">La ADOS-2 es un instrumento de </w:t>
      </w:r>
      <w:proofErr w:type="spellStart"/>
      <w:r>
        <w:t>observación</w:t>
      </w:r>
      <w:proofErr w:type="spellEnd"/>
      <w:r>
        <w:t xml:space="preserve"> semiestructurado que incluye diversas actividades que el entrevistador va presentando al sujeto con la finalidad de valorar </w:t>
      </w:r>
      <w:r>
        <w:lastRenderedPageBreak/>
        <w:t xml:space="preserve">aspectos de su </w:t>
      </w:r>
      <w:proofErr w:type="spellStart"/>
      <w:r>
        <w:t>comunicación</w:t>
      </w:r>
      <w:proofErr w:type="spellEnd"/>
      <w:r>
        <w:t xml:space="preserve">, lenguaje, </w:t>
      </w:r>
      <w:proofErr w:type="spellStart"/>
      <w:r>
        <w:t>interacción</w:t>
      </w:r>
      <w:proofErr w:type="spellEnd"/>
      <w:r>
        <w:t xml:space="preserve"> social </w:t>
      </w:r>
      <w:proofErr w:type="spellStart"/>
      <w:r>
        <w:t>recíproca</w:t>
      </w:r>
      <w:proofErr w:type="spellEnd"/>
      <w:r>
        <w:t xml:space="preserve">, </w:t>
      </w:r>
      <w:proofErr w:type="spellStart"/>
      <w:r>
        <w:t>comprensión</w:t>
      </w:r>
      <w:proofErr w:type="spellEnd"/>
      <w:r>
        <w:t xml:space="preserve"> socioemocional, </w:t>
      </w:r>
      <w:proofErr w:type="spellStart"/>
      <w:r>
        <w:t>imaginación</w:t>
      </w:r>
      <w:proofErr w:type="spellEnd"/>
      <w:r>
        <w:t xml:space="preserve">, y presencia de intereses y/o conductas repetitivas o estereotipadas u otras conductas </w:t>
      </w:r>
      <w:proofErr w:type="spellStart"/>
      <w:r>
        <w:t>anómalas</w:t>
      </w:r>
      <w:proofErr w:type="spellEnd"/>
      <w:r>
        <w:t xml:space="preserve">. Es </w:t>
      </w:r>
      <w:proofErr w:type="spellStart"/>
      <w:r>
        <w:t>válido</w:t>
      </w:r>
      <w:proofErr w:type="spellEnd"/>
      <w:r>
        <w:t xml:space="preserve"> para </w:t>
      </w:r>
      <w:proofErr w:type="spellStart"/>
      <w:r>
        <w:t>niños</w:t>
      </w:r>
      <w:proofErr w:type="spellEnd"/>
      <w:r>
        <w:t xml:space="preserve"> mayores de 12 meses y todas las etapas posteriores, incluida la edad adulta. La prueba consta de 5 </w:t>
      </w:r>
      <w:proofErr w:type="spellStart"/>
      <w:r>
        <w:t>módulos</w:t>
      </w:r>
      <w:proofErr w:type="spellEnd"/>
      <w:r>
        <w:t xml:space="preserve"> que se ajustan a la capacidad de lenguaje y edad </w:t>
      </w:r>
      <w:proofErr w:type="spellStart"/>
      <w:r>
        <w:t>cronológica</w:t>
      </w:r>
      <w:proofErr w:type="spellEnd"/>
      <w:r>
        <w:t xml:space="preserve"> del sujeto. Se utilizan algoritmos </w:t>
      </w:r>
      <w:proofErr w:type="spellStart"/>
      <w:r>
        <w:t>diagnósticos</w:t>
      </w:r>
      <w:proofErr w:type="spellEnd"/>
      <w:r>
        <w:t xml:space="preserve"> simples de completar, con puntos de cohorte para autismo o espectro autista. Las puntuaciones pueden ser: 0 (suele expresar que no hay </w:t>
      </w:r>
      <w:proofErr w:type="spellStart"/>
      <w:r>
        <w:t>alteración</w:t>
      </w:r>
      <w:proofErr w:type="spellEnd"/>
      <w:r>
        <w:t xml:space="preserve">), 1 (ligera </w:t>
      </w:r>
      <w:proofErr w:type="spellStart"/>
      <w:r>
        <w:t>alteración</w:t>
      </w:r>
      <w:proofErr w:type="spellEnd"/>
      <w:r>
        <w:t xml:space="preserve"> que no es tan interferente y </w:t>
      </w:r>
      <w:proofErr w:type="spellStart"/>
      <w:r>
        <w:t>anómala</w:t>
      </w:r>
      <w:proofErr w:type="spellEnd"/>
      <w:r>
        <w:t xml:space="preserve"> como la </w:t>
      </w:r>
      <w:proofErr w:type="spellStart"/>
      <w:r>
        <w:t>puntuación</w:t>
      </w:r>
      <w:proofErr w:type="spellEnd"/>
      <w:r>
        <w:t xml:space="preserve"> 2) o 2 (</w:t>
      </w:r>
      <w:proofErr w:type="spellStart"/>
      <w:r>
        <w:t>alteración</w:t>
      </w:r>
      <w:proofErr w:type="spellEnd"/>
      <w:r>
        <w:t xml:space="preserve"> clara del comportamiento que se valora). A Joaquina se le administró el </w:t>
      </w:r>
      <w:proofErr w:type="spellStart"/>
      <w:r>
        <w:t>módulo</w:t>
      </w:r>
      <w:proofErr w:type="spellEnd"/>
      <w:r>
        <w:t xml:space="preserve"> 1. </w:t>
      </w:r>
    </w:p>
    <w:p w14:paraId="2BF1799D" w14:textId="77777777" w:rsidR="00D15E26" w:rsidRDefault="00000000">
      <w:pPr>
        <w:jc w:val="both"/>
      </w:pPr>
      <w:r>
        <w:t xml:space="preserve">La </w:t>
      </w:r>
      <w:proofErr w:type="spellStart"/>
      <w:r>
        <w:t>puntuación</w:t>
      </w:r>
      <w:proofErr w:type="spellEnd"/>
      <w:r>
        <w:t xml:space="preserve"> en el algoritmo del ADOS-2, </w:t>
      </w:r>
      <w:proofErr w:type="spellStart"/>
      <w:r>
        <w:t>módulo</w:t>
      </w:r>
      <w:proofErr w:type="spellEnd"/>
      <w:r>
        <w:t xml:space="preserve"> 1, de Joaquina está por encima del punto de cohorte para el autismo, por lo que muestra una alta sensibilidad y especificidad para el TEA. </w:t>
      </w:r>
    </w:p>
    <w:p w14:paraId="69D34F6E" w14:textId="77777777" w:rsidR="00D15E26" w:rsidRDefault="00000000">
      <w:pPr>
        <w:ind w:firstLine="708"/>
        <w:jc w:val="both"/>
      </w:pPr>
      <w:r>
        <w:rPr>
          <w:noProof/>
        </w:rPr>
        <w:drawing>
          <wp:inline distT="0" distB="0" distL="0" distR="0" wp14:anchorId="0646B8D3" wp14:editId="622D3BF6">
            <wp:extent cx="4923155" cy="5624830"/>
            <wp:effectExtent l="0" t="0" r="4445" b="1270"/>
            <wp:docPr id="45282907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29074" name="Imagen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117" cy="562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B0F2B" w14:textId="77777777" w:rsidR="00D15E26" w:rsidRDefault="00D15E26">
      <w:pPr>
        <w:jc w:val="both"/>
      </w:pPr>
    </w:p>
    <w:p w14:paraId="59A1C727" w14:textId="77777777" w:rsidR="00D15E26" w:rsidRDefault="00D15E26">
      <w:pPr>
        <w:jc w:val="both"/>
      </w:pPr>
    </w:p>
    <w:p w14:paraId="33006C76" w14:textId="57C60580" w:rsidR="00D15E26" w:rsidRDefault="00000000" w:rsidP="00031151">
      <w:pPr>
        <w:rPr>
          <w:b/>
          <w:bCs/>
          <w:u w:val="single"/>
        </w:rPr>
      </w:pPr>
      <w:r>
        <w:br w:type="page"/>
      </w:r>
    </w:p>
    <w:p w14:paraId="324DAA1C" w14:textId="77777777" w:rsidR="00D15E26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Actividad a desarrollar en cada estudio de caso</w:t>
      </w:r>
    </w:p>
    <w:p w14:paraId="1F83C8CE" w14:textId="77777777" w:rsidR="00D15E26" w:rsidRDefault="00D15E26">
      <w:pPr>
        <w:jc w:val="both"/>
      </w:pPr>
    </w:p>
    <w:p w14:paraId="1DBB4328" w14:textId="77777777" w:rsidR="00D15E26" w:rsidRDefault="00D15E26">
      <w:pPr>
        <w:jc w:val="both"/>
      </w:pPr>
    </w:p>
    <w:tbl>
      <w:tblPr>
        <w:tblStyle w:val="Tablaconcuadrculaclara1"/>
        <w:tblW w:w="8960" w:type="dxa"/>
        <w:tblLook w:val="04A0" w:firstRow="1" w:lastRow="0" w:firstColumn="1" w:lastColumn="0" w:noHBand="0" w:noVBand="1"/>
      </w:tblPr>
      <w:tblGrid>
        <w:gridCol w:w="4248"/>
        <w:gridCol w:w="4712"/>
      </w:tblGrid>
      <w:tr w:rsidR="00D15E26" w14:paraId="4E71962C" w14:textId="77777777" w:rsidTr="00681249">
        <w:trPr>
          <w:trHeight w:val="2174"/>
        </w:trPr>
        <w:tc>
          <w:tcPr>
            <w:tcW w:w="4248" w:type="dxa"/>
          </w:tcPr>
          <w:p w14:paraId="340C117A" w14:textId="77777777" w:rsidR="00D15E26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>Identificación de Necesidades de aprendizaje</w:t>
            </w:r>
          </w:p>
          <w:p w14:paraId="4E0734C9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0580D718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3AC85F8D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34068807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799D4C48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22845AE6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4A9FDD08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71EF4D93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04800029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3D92CCD5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43C8DA1A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0B63DF4E" w14:textId="77777777" w:rsidR="00D15E26" w:rsidRDefault="00D15E26">
            <w:pPr>
              <w:pStyle w:val="Prrafodelista"/>
              <w:jc w:val="both"/>
              <w:rPr>
                <w:rFonts w:ascii="Times New Roman" w:hAnsi="Times New Roman" w:cs="Times New Roman"/>
              </w:rPr>
            </w:pPr>
          </w:p>
          <w:p w14:paraId="117A6E3C" w14:textId="77777777" w:rsidR="00D15E26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lang w:val="es-BO"/>
              </w:rPr>
              <w:t>Barreras</w:t>
            </w:r>
          </w:p>
          <w:p w14:paraId="20E39E6F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5741C95C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11D6C1BD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76D3380A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2019C34F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176661ED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4DC78BBA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7B48351C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1C2A6B82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226B2947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041B5479" w14:textId="77777777" w:rsidR="00D15E26" w:rsidRDefault="00D15E26">
            <w:pPr>
              <w:jc w:val="both"/>
              <w:rPr>
                <w:rFonts w:eastAsiaTheme="minorHAnsi"/>
                <w:b/>
                <w:bCs/>
                <w:kern w:val="2"/>
                <w:lang w:val="es-BO" w:eastAsia="en-US"/>
                <w14:ligatures w14:val="standardContextual"/>
              </w:rPr>
            </w:pPr>
          </w:p>
          <w:p w14:paraId="27846AF8" w14:textId="77777777" w:rsidR="00D15E26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 xml:space="preserve">Fortalezas </w:t>
            </w:r>
            <w:r>
              <w:rPr>
                <w:rFonts w:ascii="Times New Roman" w:hAnsi="Times New Roman" w:cs="Times New Roman"/>
                <w:b/>
                <w:bCs/>
                <w:lang w:val="es-BO"/>
              </w:rPr>
              <w:tab/>
            </w:r>
          </w:p>
          <w:p w14:paraId="1E086ABC" w14:textId="77777777" w:rsidR="00D15E26" w:rsidRDefault="00D15E26">
            <w:pPr>
              <w:jc w:val="both"/>
            </w:pPr>
          </w:p>
          <w:p w14:paraId="43F38271" w14:textId="77777777" w:rsidR="00D15E26" w:rsidRDefault="00D15E26">
            <w:pPr>
              <w:jc w:val="both"/>
            </w:pPr>
          </w:p>
          <w:p w14:paraId="6FE00236" w14:textId="77777777" w:rsidR="00D15E26" w:rsidRDefault="00D15E26">
            <w:pPr>
              <w:jc w:val="both"/>
            </w:pPr>
          </w:p>
          <w:p w14:paraId="7FC1D7A9" w14:textId="77777777" w:rsidR="00D15E26" w:rsidRDefault="00D15E26">
            <w:pPr>
              <w:jc w:val="both"/>
            </w:pPr>
          </w:p>
          <w:p w14:paraId="4A7B6CF3" w14:textId="77777777" w:rsidR="00D15E26" w:rsidRDefault="00D15E26">
            <w:pPr>
              <w:jc w:val="both"/>
            </w:pPr>
          </w:p>
          <w:p w14:paraId="7C0F782C" w14:textId="77777777" w:rsidR="00D15E26" w:rsidRDefault="00D15E26">
            <w:pPr>
              <w:jc w:val="both"/>
            </w:pPr>
          </w:p>
        </w:tc>
        <w:tc>
          <w:tcPr>
            <w:tcW w:w="4712" w:type="dxa"/>
          </w:tcPr>
          <w:p w14:paraId="65B9C202" w14:textId="77777777" w:rsidR="00D15E26" w:rsidRDefault="00D15E26">
            <w:pPr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</w:p>
          <w:p w14:paraId="2254A7B0" w14:textId="77777777" w:rsidR="00D15E26" w:rsidRDefault="00D15E26">
            <w:pPr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</w:p>
          <w:p w14:paraId="24B1C010" w14:textId="77777777" w:rsidR="00D15E26" w:rsidRDefault="00D15E26">
            <w:pPr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</w:p>
          <w:p w14:paraId="37157D38" w14:textId="77777777" w:rsidR="00D15E26" w:rsidRDefault="00D15E26" w:rsidP="00C93766">
            <w:pPr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</w:p>
        </w:tc>
      </w:tr>
      <w:tr w:rsidR="00D15E26" w14:paraId="6F5852B0" w14:textId="77777777" w:rsidTr="00681249">
        <w:trPr>
          <w:trHeight w:val="1270"/>
        </w:trPr>
        <w:tc>
          <w:tcPr>
            <w:tcW w:w="4248" w:type="dxa"/>
          </w:tcPr>
          <w:p w14:paraId="769B051A" w14:textId="77777777" w:rsidR="00D15E26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 xml:space="preserve">Que información considera que hace falta para completar el caso </w:t>
            </w:r>
          </w:p>
        </w:tc>
        <w:tc>
          <w:tcPr>
            <w:tcW w:w="4712" w:type="dxa"/>
          </w:tcPr>
          <w:p w14:paraId="78B5BE74" w14:textId="77777777" w:rsidR="00D15E26" w:rsidRDefault="00D15E26">
            <w:pPr>
              <w:jc w:val="both"/>
              <w:rPr>
                <w:rFonts w:eastAsiaTheme="minorHAnsi"/>
                <w:kern w:val="2"/>
                <w:lang w:val="es-BO" w:eastAsia="en-US"/>
                <w14:ligatures w14:val="standardContextual"/>
              </w:rPr>
            </w:pPr>
          </w:p>
        </w:tc>
      </w:tr>
      <w:tr w:rsidR="00D15E26" w14:paraId="77C1A573" w14:textId="77777777" w:rsidTr="00681249">
        <w:trPr>
          <w:trHeight w:val="1274"/>
        </w:trPr>
        <w:tc>
          <w:tcPr>
            <w:tcW w:w="4248" w:type="dxa"/>
          </w:tcPr>
          <w:p w14:paraId="2A690F2B" w14:textId="77777777" w:rsidR="00D15E26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>Instrumentos que pudiera aplicar para complementar el diagnóstico</w:t>
            </w:r>
          </w:p>
        </w:tc>
        <w:tc>
          <w:tcPr>
            <w:tcW w:w="4712" w:type="dxa"/>
          </w:tcPr>
          <w:p w14:paraId="09C8CF34" w14:textId="4186DD9D" w:rsidR="00D15E26" w:rsidRDefault="00D15E26" w:rsidP="00C93766">
            <w:pPr>
              <w:pStyle w:val="Prrafodelista"/>
              <w:jc w:val="both"/>
              <w:rPr>
                <w:lang w:val="es-BO"/>
              </w:rPr>
            </w:pPr>
          </w:p>
        </w:tc>
      </w:tr>
      <w:tr w:rsidR="00D15E26" w14:paraId="57C8F256" w14:textId="77777777" w:rsidTr="00681249">
        <w:trPr>
          <w:trHeight w:val="1123"/>
        </w:trPr>
        <w:tc>
          <w:tcPr>
            <w:tcW w:w="4248" w:type="dxa"/>
          </w:tcPr>
          <w:p w14:paraId="5AF52962" w14:textId="77777777" w:rsidR="00D15E26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>Descripción de los síntomas, articulando con criterios diagnósticos</w:t>
            </w:r>
          </w:p>
        </w:tc>
        <w:tc>
          <w:tcPr>
            <w:tcW w:w="4712" w:type="dxa"/>
          </w:tcPr>
          <w:p w14:paraId="1B06326B" w14:textId="7F453798" w:rsidR="00D15E26" w:rsidRDefault="00D15E26" w:rsidP="00C93766">
            <w:pPr>
              <w:pStyle w:val="Prrafodelista"/>
              <w:jc w:val="both"/>
              <w:rPr>
                <w:lang w:val="es-BO"/>
              </w:rPr>
            </w:pPr>
          </w:p>
        </w:tc>
      </w:tr>
      <w:tr w:rsidR="00D15E26" w14:paraId="181C63C9" w14:textId="77777777" w:rsidTr="00681249">
        <w:trPr>
          <w:trHeight w:val="983"/>
        </w:trPr>
        <w:tc>
          <w:tcPr>
            <w:tcW w:w="4248" w:type="dxa"/>
          </w:tcPr>
          <w:p w14:paraId="5305A150" w14:textId="77777777" w:rsidR="00D15E26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lastRenderedPageBreak/>
              <w:t>Diagnóstico presuntivo</w:t>
            </w:r>
          </w:p>
        </w:tc>
        <w:tc>
          <w:tcPr>
            <w:tcW w:w="4712" w:type="dxa"/>
          </w:tcPr>
          <w:p w14:paraId="1A0A4C43" w14:textId="726A45F4" w:rsidR="00D15E26" w:rsidRDefault="00D15E26">
            <w:pPr>
              <w:jc w:val="both"/>
              <w:rPr>
                <w:rFonts w:eastAsiaTheme="minorHAnsi"/>
                <w:kern w:val="2"/>
                <w:lang w:val="es-BO" w:eastAsia="en-US"/>
                <w14:ligatures w14:val="standardContextual"/>
              </w:rPr>
            </w:pPr>
          </w:p>
        </w:tc>
      </w:tr>
      <w:tr w:rsidR="00D15E26" w14:paraId="39891B39" w14:textId="77777777" w:rsidTr="00681249">
        <w:trPr>
          <w:trHeight w:val="1913"/>
        </w:trPr>
        <w:tc>
          <w:tcPr>
            <w:tcW w:w="4248" w:type="dxa"/>
          </w:tcPr>
          <w:p w14:paraId="142CC766" w14:textId="77777777" w:rsidR="00D15E26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>Recomendaciones (para la institución, familia-social….)</w:t>
            </w:r>
          </w:p>
          <w:p w14:paraId="14EA626F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7ECEEFA6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63CC9D67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3BBF5A0D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36EE7233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749FE152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3493FBFA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2C3682F5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424AC260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490FC0C1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7C628AD2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6B748AE7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7101C06B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6B3FB67D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0648CFBA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3255BEDB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1E879873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52F032CB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63D9665E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26390F13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76040718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13911098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3F3647D9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206F2541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62F4E4C9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67F9D95F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7714EFFE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7947E559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56366DC2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011D9102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6650B1EC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40C68D6B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1C2C0948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606CC69A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480BEBAB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0C5CE447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62AE3382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4FFAF983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6A42F705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260B7241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202AEF9F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2A376F98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2BC0E2FA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21D0529C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4FFDF094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5C0349A9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052DC7D1" w14:textId="77777777" w:rsidR="00D15E26" w:rsidRDefault="00D15E26">
            <w:pPr>
              <w:jc w:val="both"/>
              <w:rPr>
                <w:b/>
                <w:bCs/>
                <w:lang w:val="es-BO"/>
              </w:rPr>
            </w:pPr>
          </w:p>
          <w:p w14:paraId="48575439" w14:textId="77777777" w:rsidR="00D15E26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>Estrategias (lo que el profesional realizará)</w:t>
            </w:r>
          </w:p>
        </w:tc>
        <w:tc>
          <w:tcPr>
            <w:tcW w:w="4712" w:type="dxa"/>
          </w:tcPr>
          <w:p w14:paraId="73770F0B" w14:textId="53620518" w:rsidR="00D15E26" w:rsidRDefault="00000000" w:rsidP="00C93766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lastRenderedPageBreak/>
              <w:t> </w:t>
            </w:r>
          </w:p>
        </w:tc>
      </w:tr>
    </w:tbl>
    <w:p w14:paraId="5BE627DB" w14:textId="77777777" w:rsidR="00D15E26" w:rsidRDefault="00D15E26">
      <w:pPr>
        <w:jc w:val="both"/>
      </w:pPr>
    </w:p>
    <w:p w14:paraId="2793E7B5" w14:textId="77777777" w:rsidR="00D15E26" w:rsidRDefault="00D15E26"/>
    <w:sectPr w:rsidR="00D15E2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C68BF"/>
    <w:multiLevelType w:val="multilevel"/>
    <w:tmpl w:val="466C68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C73A4"/>
    <w:multiLevelType w:val="multilevel"/>
    <w:tmpl w:val="6FAC7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6BA0"/>
    <w:multiLevelType w:val="multilevel"/>
    <w:tmpl w:val="711E6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104BE"/>
    <w:multiLevelType w:val="multilevel"/>
    <w:tmpl w:val="74A10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328966">
    <w:abstractNumId w:val="1"/>
  </w:num>
  <w:num w:numId="2" w16cid:durableId="882331551">
    <w:abstractNumId w:val="0"/>
  </w:num>
  <w:num w:numId="3" w16cid:durableId="1070541649">
    <w:abstractNumId w:val="2"/>
  </w:num>
  <w:num w:numId="4" w16cid:durableId="392124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AB"/>
    <w:rsid w:val="0001576D"/>
    <w:rsid w:val="00031151"/>
    <w:rsid w:val="00044C6A"/>
    <w:rsid w:val="00052DF0"/>
    <w:rsid w:val="00063E61"/>
    <w:rsid w:val="00066FC6"/>
    <w:rsid w:val="000750BC"/>
    <w:rsid w:val="00093937"/>
    <w:rsid w:val="00093F19"/>
    <w:rsid w:val="000B1A30"/>
    <w:rsid w:val="000B4CE4"/>
    <w:rsid w:val="000D5723"/>
    <w:rsid w:val="00141011"/>
    <w:rsid w:val="00153F04"/>
    <w:rsid w:val="001A55B7"/>
    <w:rsid w:val="001B1182"/>
    <w:rsid w:val="001B13A4"/>
    <w:rsid w:val="001C43B1"/>
    <w:rsid w:val="001D4E17"/>
    <w:rsid w:val="001F00A6"/>
    <w:rsid w:val="00262DA5"/>
    <w:rsid w:val="00291FEF"/>
    <w:rsid w:val="0030398B"/>
    <w:rsid w:val="00307835"/>
    <w:rsid w:val="00382A5B"/>
    <w:rsid w:val="0044075E"/>
    <w:rsid w:val="00441C86"/>
    <w:rsid w:val="004964FE"/>
    <w:rsid w:val="004A5682"/>
    <w:rsid w:val="004D6499"/>
    <w:rsid w:val="0051224B"/>
    <w:rsid w:val="00521EEB"/>
    <w:rsid w:val="00551A6F"/>
    <w:rsid w:val="00584465"/>
    <w:rsid w:val="0058607B"/>
    <w:rsid w:val="005D3D7A"/>
    <w:rsid w:val="005E4416"/>
    <w:rsid w:val="005E71DA"/>
    <w:rsid w:val="00614D23"/>
    <w:rsid w:val="006155D9"/>
    <w:rsid w:val="00641382"/>
    <w:rsid w:val="0064501D"/>
    <w:rsid w:val="00664715"/>
    <w:rsid w:val="00681249"/>
    <w:rsid w:val="006A6FF6"/>
    <w:rsid w:val="006C4137"/>
    <w:rsid w:val="006C6EEB"/>
    <w:rsid w:val="006F6760"/>
    <w:rsid w:val="00705BB0"/>
    <w:rsid w:val="0076257F"/>
    <w:rsid w:val="00777538"/>
    <w:rsid w:val="00784F86"/>
    <w:rsid w:val="007E385E"/>
    <w:rsid w:val="007E4ED2"/>
    <w:rsid w:val="00810060"/>
    <w:rsid w:val="00826AEA"/>
    <w:rsid w:val="0083579D"/>
    <w:rsid w:val="0084152B"/>
    <w:rsid w:val="00844291"/>
    <w:rsid w:val="00846A06"/>
    <w:rsid w:val="00886611"/>
    <w:rsid w:val="008A28C2"/>
    <w:rsid w:val="008A2AF9"/>
    <w:rsid w:val="008E2D28"/>
    <w:rsid w:val="009063F6"/>
    <w:rsid w:val="009176B2"/>
    <w:rsid w:val="0092207B"/>
    <w:rsid w:val="0093331C"/>
    <w:rsid w:val="009515F5"/>
    <w:rsid w:val="009555D0"/>
    <w:rsid w:val="00957DC9"/>
    <w:rsid w:val="00A13304"/>
    <w:rsid w:val="00A212E0"/>
    <w:rsid w:val="00A43819"/>
    <w:rsid w:val="00B344E3"/>
    <w:rsid w:val="00B7575F"/>
    <w:rsid w:val="00B849E1"/>
    <w:rsid w:val="00B92B88"/>
    <w:rsid w:val="00B95F43"/>
    <w:rsid w:val="00BA73F9"/>
    <w:rsid w:val="00BB42CC"/>
    <w:rsid w:val="00BB4E99"/>
    <w:rsid w:val="00C24F2C"/>
    <w:rsid w:val="00C463E7"/>
    <w:rsid w:val="00C879C8"/>
    <w:rsid w:val="00C93766"/>
    <w:rsid w:val="00C93938"/>
    <w:rsid w:val="00CA346E"/>
    <w:rsid w:val="00CE7F84"/>
    <w:rsid w:val="00D15E26"/>
    <w:rsid w:val="00D2350F"/>
    <w:rsid w:val="00D27132"/>
    <w:rsid w:val="00D57656"/>
    <w:rsid w:val="00D61989"/>
    <w:rsid w:val="00D75AFC"/>
    <w:rsid w:val="00DC168F"/>
    <w:rsid w:val="00DD4F56"/>
    <w:rsid w:val="00E2598F"/>
    <w:rsid w:val="00E338AB"/>
    <w:rsid w:val="00E52831"/>
    <w:rsid w:val="00E9313A"/>
    <w:rsid w:val="00F27562"/>
    <w:rsid w:val="00F60496"/>
    <w:rsid w:val="00FB1A7A"/>
    <w:rsid w:val="00FB686B"/>
    <w:rsid w:val="229D70FE"/>
    <w:rsid w:val="73C6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6FC3"/>
  <w15:docId w15:val="{B8BF0DA1-7199-43E8-A59D-EB1CCC06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fasisintenso1">
    <w:name w:val="Énfasis intenso1"/>
    <w:basedOn w:val="Fuentedeprrafopredeter"/>
    <w:uiPriority w:val="21"/>
    <w:qFormat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table" w:customStyle="1" w:styleId="Tablanormal11">
    <w:name w:val="Tabla normal 11"/>
    <w:basedOn w:val="Tabla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9761-1D9F-4317-B63D-CF93B2F2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861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Maria De Leon Nicaretta</dc:creator>
  <cp:lastModifiedBy>Daniel Alejandro Oviedo Guado</cp:lastModifiedBy>
  <cp:revision>8</cp:revision>
  <cp:lastPrinted>2025-01-16T19:26:00Z</cp:lastPrinted>
  <dcterms:created xsi:type="dcterms:W3CDTF">2025-01-16T20:55:00Z</dcterms:created>
  <dcterms:modified xsi:type="dcterms:W3CDTF">2025-02-11T14:30:00Z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A444AE3A202E4ADEBDD9B3A28F628DAB_13</vt:lpwstr>
  </property>
</Properties>
</file>