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4E6A" w14:textId="77777777" w:rsidR="000B76A6" w:rsidRPr="000B76A6" w:rsidRDefault="000B76A6" w:rsidP="000B76A6">
      <w:pPr>
        <w:shd w:val="clear" w:color="auto" w:fill="FFFFFF"/>
        <w:spacing w:after="0" w:line="240" w:lineRule="auto"/>
        <w:outlineLvl w:val="1"/>
        <w:rPr>
          <w:rFonts w:ascii="Verdana" w:eastAsia="Times New Roman" w:hAnsi="Verdana" w:cs="Times New Roman"/>
          <w:color w:val="000080"/>
          <w:sz w:val="29"/>
          <w:szCs w:val="29"/>
          <w:lang w:eastAsia="es-EC"/>
        </w:rPr>
      </w:pPr>
      <w:hyperlink r:id="rId5" w:history="1">
        <w:r w:rsidRPr="000B76A6">
          <w:rPr>
            <w:rFonts w:ascii="Verdana" w:eastAsia="Times New Roman" w:hAnsi="Verdana" w:cs="Times New Roman"/>
            <w:color w:val="0000FF"/>
            <w:sz w:val="29"/>
            <w:szCs w:val="29"/>
            <w:u w:val="single"/>
            <w:lang w:eastAsia="es-EC"/>
          </w:rPr>
          <w:t>Revista chilena de derecho privado</w:t>
        </w:r>
      </w:hyperlink>
    </w:p>
    <w:p w14:paraId="3CDE089B" w14:textId="77777777" w:rsidR="000B76A6" w:rsidRPr="000B76A6" w:rsidRDefault="000B76A6" w:rsidP="000B76A6">
      <w:pPr>
        <w:shd w:val="clear" w:color="auto" w:fill="FFFFFF"/>
        <w:spacing w:after="0" w:line="240" w:lineRule="auto"/>
        <w:outlineLvl w:val="1"/>
        <w:rPr>
          <w:rFonts w:ascii="Verdana" w:eastAsia="Times New Roman" w:hAnsi="Verdana" w:cs="Times New Roman"/>
          <w:color w:val="000080"/>
          <w:sz w:val="18"/>
          <w:szCs w:val="18"/>
          <w:lang w:eastAsia="es-EC"/>
        </w:rPr>
      </w:pPr>
      <w:r w:rsidRPr="000B76A6">
        <w:rPr>
          <w:rFonts w:ascii="Verdana" w:eastAsia="Times New Roman" w:hAnsi="Verdana" w:cs="Times New Roman"/>
          <w:i/>
          <w:iCs/>
          <w:color w:val="0000A0"/>
          <w:sz w:val="18"/>
          <w:szCs w:val="18"/>
          <w:lang w:eastAsia="es-EC"/>
        </w:rPr>
        <w:t>versión On-line</w:t>
      </w:r>
      <w:r w:rsidRPr="000B76A6">
        <w:rPr>
          <w:rFonts w:ascii="Verdana" w:eastAsia="Times New Roman" w:hAnsi="Verdana" w:cs="Times New Roman"/>
          <w:color w:val="0000A0"/>
          <w:sz w:val="18"/>
          <w:szCs w:val="18"/>
          <w:lang w:eastAsia="es-EC"/>
        </w:rPr>
        <w:t> ISSN </w:t>
      </w:r>
      <w:r w:rsidRPr="000B76A6">
        <w:rPr>
          <w:rFonts w:ascii="Verdana" w:eastAsia="Times New Roman" w:hAnsi="Verdana" w:cs="Times New Roman"/>
          <w:color w:val="000080"/>
          <w:sz w:val="18"/>
          <w:szCs w:val="18"/>
          <w:lang w:eastAsia="es-EC"/>
        </w:rPr>
        <w:t>0718-8072</w:t>
      </w:r>
    </w:p>
    <w:p w14:paraId="2CFD02D1" w14:textId="77777777" w:rsidR="000B76A6" w:rsidRPr="000B76A6" w:rsidRDefault="000B76A6" w:rsidP="000B76A6">
      <w:pPr>
        <w:shd w:val="clear" w:color="auto" w:fill="FFFFFF"/>
        <w:spacing w:before="100" w:beforeAutospacing="1" w:after="100" w:afterAutospacing="1" w:line="240" w:lineRule="auto"/>
        <w:outlineLvl w:val="2"/>
        <w:rPr>
          <w:rFonts w:ascii="Times" w:eastAsia="Times New Roman" w:hAnsi="Times" w:cs="Times"/>
          <w:b/>
          <w:bCs/>
          <w:color w:val="800000"/>
          <w:lang w:eastAsia="es-EC"/>
        </w:rPr>
      </w:pPr>
      <w:r w:rsidRPr="000B76A6">
        <w:rPr>
          <w:rFonts w:ascii="Times" w:eastAsia="Times New Roman" w:hAnsi="Times" w:cs="Times"/>
          <w:b/>
          <w:bCs/>
          <w:color w:val="800000"/>
          <w:lang w:eastAsia="es-EC"/>
        </w:rPr>
        <w:t>RChDP  no.40 Santiago jun. 2023</w:t>
      </w:r>
    </w:p>
    <w:p w14:paraId="0161E3F8" w14:textId="77777777" w:rsidR="000B76A6" w:rsidRPr="000B76A6" w:rsidRDefault="000B76A6" w:rsidP="000B76A6">
      <w:pPr>
        <w:shd w:val="clear" w:color="auto" w:fill="FFFFFF"/>
        <w:spacing w:after="0" w:line="240" w:lineRule="auto"/>
        <w:outlineLvl w:val="3"/>
        <w:rPr>
          <w:rFonts w:ascii="Verdana" w:eastAsia="Times New Roman" w:hAnsi="Verdana" w:cs="Times New Roman"/>
          <w:color w:val="800000"/>
          <w:sz w:val="16"/>
          <w:szCs w:val="16"/>
          <w:lang w:eastAsia="es-EC"/>
        </w:rPr>
      </w:pPr>
      <w:r w:rsidRPr="000B76A6">
        <w:rPr>
          <w:rFonts w:ascii="Verdana" w:eastAsia="Times New Roman" w:hAnsi="Verdana" w:cs="Times New Roman"/>
          <w:color w:val="800000"/>
          <w:sz w:val="16"/>
          <w:szCs w:val="16"/>
          <w:lang w:eastAsia="es-EC"/>
        </w:rPr>
        <w:t>http://dx.doi.org/10.32995/s0718-80722023657 </w:t>
      </w:r>
    </w:p>
    <w:p w14:paraId="237364FB" w14:textId="77777777" w:rsidR="000B76A6" w:rsidRPr="000B76A6" w:rsidRDefault="000B76A6" w:rsidP="000B76A6">
      <w:pPr>
        <w:shd w:val="clear" w:color="auto" w:fill="FFFFFF"/>
        <w:spacing w:before="100" w:beforeAutospacing="1" w:after="100" w:afterAutospacing="1" w:line="240" w:lineRule="auto"/>
        <w:jc w:val="right"/>
        <w:rPr>
          <w:rFonts w:ascii="Verdana" w:eastAsia="Times New Roman" w:hAnsi="Verdana" w:cs="Times New Roman"/>
          <w:b/>
          <w:bCs/>
          <w:caps/>
          <w:color w:val="000000"/>
          <w:sz w:val="20"/>
          <w:szCs w:val="20"/>
          <w:lang w:eastAsia="es-EC"/>
        </w:rPr>
      </w:pPr>
      <w:r w:rsidRPr="000B76A6">
        <w:rPr>
          <w:rFonts w:ascii="Verdana" w:eastAsia="Times New Roman" w:hAnsi="Verdana" w:cs="Times New Roman"/>
          <w:b/>
          <w:bCs/>
          <w:caps/>
          <w:color w:val="000000"/>
          <w:sz w:val="20"/>
          <w:szCs w:val="20"/>
          <w:lang w:eastAsia="es-EC"/>
        </w:rPr>
        <w:t>OPINIÓN PROFESIONAL</w:t>
      </w:r>
    </w:p>
    <w:p w14:paraId="1CF5BA6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8"/>
          <w:szCs w:val="28"/>
          <w:lang w:eastAsia="es-EC"/>
        </w:rPr>
      </w:pPr>
      <w:r w:rsidRPr="000B76A6">
        <w:rPr>
          <w:rFonts w:ascii="Verdana" w:eastAsia="Times New Roman" w:hAnsi="Verdana" w:cs="Times New Roman"/>
          <w:b/>
          <w:bCs/>
          <w:color w:val="000000"/>
          <w:sz w:val="28"/>
          <w:szCs w:val="28"/>
          <w:lang w:eastAsia="es-EC"/>
        </w:rPr>
        <w:t>EL LITIGANTE APARENTE EN EL CÓDIGO DE ÉTICA PROFESIONAL DEL COLEGIO DE ABOGADOS DE CHILE A.G.</w:t>
      </w:r>
    </w:p>
    <w:p w14:paraId="19FC5F11" w14:textId="77777777" w:rsidR="000B76A6" w:rsidRPr="000B76A6" w:rsidRDefault="000B76A6" w:rsidP="000B76A6">
      <w:pPr>
        <w:shd w:val="clear" w:color="auto" w:fill="FFFFFF"/>
        <w:spacing w:before="1200" w:after="1200" w:line="240" w:lineRule="auto"/>
        <w:rPr>
          <w:rFonts w:ascii="Verdana" w:eastAsia="Times New Roman" w:hAnsi="Verdana" w:cs="Times New Roman"/>
          <w:b/>
          <w:bCs/>
          <w:color w:val="000000"/>
          <w:sz w:val="24"/>
          <w:szCs w:val="24"/>
          <w:lang w:eastAsia="es-EC"/>
        </w:rPr>
      </w:pPr>
      <w:r w:rsidRPr="000B76A6">
        <w:rPr>
          <w:rFonts w:ascii="Verdana" w:eastAsia="Times New Roman" w:hAnsi="Verdana" w:cs="Times New Roman"/>
          <w:b/>
          <w:bCs/>
          <w:color w:val="000000"/>
          <w:sz w:val="24"/>
          <w:szCs w:val="24"/>
          <w:lang w:eastAsia="es-EC"/>
        </w:rPr>
        <w:t>THE SHAM LITIGATOR UNDER THE CHILEAN BAR ASSOCIATION’S CODE OF PROFESSIONAL ETHICS</w:t>
      </w:r>
    </w:p>
    <w:p w14:paraId="01D7CB0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C"/>
        </w:rPr>
      </w:pPr>
      <w:r w:rsidRPr="000B76A6">
        <w:rPr>
          <w:rFonts w:ascii="Verdana" w:eastAsia="Times New Roman" w:hAnsi="Verdana" w:cs="Times New Roman"/>
          <w:b/>
          <w:bCs/>
          <w:color w:val="000000"/>
          <w:sz w:val="19"/>
          <w:szCs w:val="19"/>
          <w:lang w:eastAsia="es-EC"/>
        </w:rPr>
        <w:t>Lucas Sierra I.</w:t>
      </w:r>
      <w:hyperlink r:id="rId6" w:anchor="aff1" w:history="1">
        <w:r w:rsidRPr="000B76A6">
          <w:rPr>
            <w:rFonts w:ascii="Verdana" w:eastAsia="Times New Roman" w:hAnsi="Verdana" w:cs="Times New Roman"/>
            <w:b/>
            <w:bCs/>
            <w:color w:val="0000FF"/>
            <w:sz w:val="19"/>
            <w:szCs w:val="19"/>
            <w:u w:val="single"/>
            <w:vertAlign w:val="superscript"/>
            <w:lang w:eastAsia="es-EC"/>
          </w:rPr>
          <w:t>*</w:t>
        </w:r>
      </w:hyperlink>
      <w:r w:rsidRPr="000B76A6">
        <w:rPr>
          <w:rFonts w:ascii="Verdana" w:eastAsia="Times New Roman" w:hAnsi="Verdana" w:cs="Times New Roman"/>
          <w:b/>
          <w:bCs/>
          <w:color w:val="000000"/>
          <w:sz w:val="19"/>
          <w:szCs w:val="19"/>
          <w:vertAlign w:val="superscript"/>
          <w:lang w:eastAsia="es-EC"/>
        </w:rPr>
        <w:t> </w:t>
      </w:r>
    </w:p>
    <w:p w14:paraId="4E93D3E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C"/>
        </w:rPr>
      </w:pPr>
      <w:r w:rsidRPr="000B76A6">
        <w:rPr>
          <w:rFonts w:ascii="Verdana" w:eastAsia="Times New Roman" w:hAnsi="Verdana" w:cs="Times New Roman"/>
          <w:b/>
          <w:bCs/>
          <w:color w:val="000000"/>
          <w:sz w:val="19"/>
          <w:szCs w:val="19"/>
          <w:lang w:eastAsia="es-EC"/>
        </w:rPr>
        <w:t>Pablo Fuenzalida C.</w:t>
      </w:r>
      <w:hyperlink r:id="rId7" w:anchor="aff4" w:history="1">
        <w:r w:rsidRPr="000B76A6">
          <w:rPr>
            <w:rFonts w:ascii="Verdana" w:eastAsia="Times New Roman" w:hAnsi="Verdana" w:cs="Times New Roman"/>
            <w:b/>
            <w:bCs/>
            <w:color w:val="0000FF"/>
            <w:sz w:val="19"/>
            <w:szCs w:val="19"/>
            <w:u w:val="single"/>
            <w:vertAlign w:val="superscript"/>
            <w:lang w:eastAsia="es-EC"/>
          </w:rPr>
          <w:t>**</w:t>
        </w:r>
      </w:hyperlink>
      <w:r w:rsidRPr="000B76A6">
        <w:rPr>
          <w:rFonts w:ascii="Verdana" w:eastAsia="Times New Roman" w:hAnsi="Verdana" w:cs="Times New Roman"/>
          <w:b/>
          <w:bCs/>
          <w:color w:val="000000"/>
          <w:sz w:val="19"/>
          <w:szCs w:val="19"/>
          <w:vertAlign w:val="superscript"/>
          <w:lang w:eastAsia="es-EC"/>
        </w:rPr>
        <w:t> </w:t>
      </w:r>
    </w:p>
    <w:p w14:paraId="1835CBCF" w14:textId="77777777" w:rsidR="000B76A6" w:rsidRPr="000B76A6" w:rsidRDefault="000B76A6" w:rsidP="000B76A6">
      <w:pPr>
        <w:shd w:val="clear" w:color="auto" w:fill="FFFFFF"/>
        <w:spacing w:after="0" w:line="240" w:lineRule="auto"/>
        <w:rPr>
          <w:rFonts w:ascii="Verdana" w:eastAsia="Times New Roman" w:hAnsi="Verdana" w:cs="Times New Roman"/>
          <w:color w:val="000000"/>
          <w:sz w:val="20"/>
          <w:szCs w:val="20"/>
          <w:lang w:eastAsia="es-EC"/>
        </w:rPr>
      </w:pPr>
      <w:bookmarkStart w:id="0" w:name="aff1"/>
      <w:bookmarkEnd w:id="0"/>
      <w:r w:rsidRPr="000B76A6">
        <w:rPr>
          <w:rFonts w:ascii="Verdana" w:eastAsia="Times New Roman" w:hAnsi="Verdana" w:cs="Times New Roman"/>
          <w:color w:val="000000"/>
          <w:sz w:val="20"/>
          <w:szCs w:val="20"/>
          <w:vertAlign w:val="superscript"/>
          <w:lang w:eastAsia="es-EC"/>
        </w:rPr>
        <w:t>* </w:t>
      </w:r>
      <w:r w:rsidRPr="000B76A6">
        <w:rPr>
          <w:rFonts w:ascii="Verdana" w:eastAsia="Times New Roman" w:hAnsi="Verdana" w:cs="Times New Roman"/>
          <w:color w:val="000000"/>
          <w:sz w:val="20"/>
          <w:szCs w:val="20"/>
          <w:lang w:eastAsia="es-EC"/>
        </w:rPr>
        <w:t>Abogado, Universidad de Chile. LL.M. Yale University .</w:t>
      </w:r>
    </w:p>
    <w:p w14:paraId="62D8866F" w14:textId="77777777" w:rsidR="000B76A6" w:rsidRPr="000B76A6" w:rsidRDefault="000B76A6" w:rsidP="000B76A6">
      <w:pPr>
        <w:shd w:val="clear" w:color="auto" w:fill="FFFFFF"/>
        <w:spacing w:after="0" w:line="240" w:lineRule="auto"/>
        <w:rPr>
          <w:rFonts w:ascii="Verdana" w:eastAsia="Times New Roman" w:hAnsi="Verdana" w:cs="Times New Roman"/>
          <w:color w:val="000000"/>
          <w:sz w:val="20"/>
          <w:szCs w:val="20"/>
          <w:lang w:eastAsia="es-EC"/>
        </w:rPr>
      </w:pPr>
      <w:bookmarkStart w:id="1" w:name="aff2"/>
      <w:bookmarkEnd w:id="1"/>
      <w:r w:rsidRPr="000B76A6">
        <w:rPr>
          <w:rFonts w:ascii="Verdana" w:eastAsia="Times New Roman" w:hAnsi="Verdana" w:cs="Times New Roman"/>
          <w:color w:val="000000"/>
          <w:sz w:val="20"/>
          <w:szCs w:val="20"/>
          <w:vertAlign w:val="superscript"/>
          <w:lang w:eastAsia="es-EC"/>
        </w:rPr>
        <w:t>2</w:t>
      </w:r>
      <w:r w:rsidRPr="000B76A6">
        <w:rPr>
          <w:rFonts w:ascii="Verdana" w:eastAsia="Times New Roman" w:hAnsi="Verdana" w:cs="Times New Roman"/>
          <w:color w:val="000000"/>
          <w:sz w:val="20"/>
          <w:szCs w:val="20"/>
          <w:lang w:eastAsia="es-EC"/>
        </w:rPr>
        <w:t>Ph.D. University of Cambridge .</w:t>
      </w:r>
    </w:p>
    <w:p w14:paraId="27AA400B" w14:textId="77777777" w:rsidR="000B76A6" w:rsidRPr="000B76A6" w:rsidRDefault="000B76A6" w:rsidP="000B76A6">
      <w:pPr>
        <w:shd w:val="clear" w:color="auto" w:fill="FFFFFF"/>
        <w:spacing w:after="0" w:line="240" w:lineRule="auto"/>
        <w:rPr>
          <w:rFonts w:ascii="Verdana" w:eastAsia="Times New Roman" w:hAnsi="Verdana" w:cs="Times New Roman"/>
          <w:color w:val="000000"/>
          <w:sz w:val="20"/>
          <w:szCs w:val="20"/>
          <w:lang w:eastAsia="es-EC"/>
        </w:rPr>
      </w:pPr>
      <w:bookmarkStart w:id="2" w:name="aff3"/>
      <w:bookmarkEnd w:id="2"/>
      <w:r w:rsidRPr="000B76A6">
        <w:rPr>
          <w:rFonts w:ascii="Verdana" w:eastAsia="Times New Roman" w:hAnsi="Verdana" w:cs="Times New Roman"/>
          <w:color w:val="000000"/>
          <w:sz w:val="20"/>
          <w:szCs w:val="20"/>
          <w:vertAlign w:val="superscript"/>
          <w:lang w:eastAsia="es-EC"/>
        </w:rPr>
        <w:t>3</w:t>
      </w:r>
      <w:r w:rsidRPr="000B76A6">
        <w:rPr>
          <w:rFonts w:ascii="Verdana" w:eastAsia="Times New Roman" w:hAnsi="Verdana" w:cs="Times New Roman"/>
          <w:color w:val="000000"/>
          <w:sz w:val="20"/>
          <w:szCs w:val="20"/>
          <w:lang w:eastAsia="es-EC"/>
        </w:rPr>
        <w:t>Profesor asociado de Profesión Jurídica en la Escuela de Derecho de la Universidad de Chile .</w:t>
      </w:r>
    </w:p>
    <w:p w14:paraId="4967B92B" w14:textId="77777777" w:rsidR="000B76A6" w:rsidRPr="000B76A6" w:rsidRDefault="000B76A6" w:rsidP="000B76A6">
      <w:pPr>
        <w:shd w:val="clear" w:color="auto" w:fill="FFFFFF"/>
        <w:spacing w:after="0" w:line="240" w:lineRule="auto"/>
        <w:rPr>
          <w:rFonts w:ascii="Verdana" w:eastAsia="Times New Roman" w:hAnsi="Verdana" w:cs="Times New Roman"/>
          <w:color w:val="000000"/>
          <w:sz w:val="20"/>
          <w:szCs w:val="20"/>
          <w:lang w:eastAsia="es-EC"/>
        </w:rPr>
      </w:pPr>
      <w:bookmarkStart w:id="3" w:name="aff4"/>
      <w:bookmarkEnd w:id="3"/>
      <w:r w:rsidRPr="000B76A6">
        <w:rPr>
          <w:rFonts w:ascii="Verdana" w:eastAsia="Times New Roman" w:hAnsi="Verdana" w:cs="Times New Roman"/>
          <w:color w:val="000000"/>
          <w:sz w:val="20"/>
          <w:szCs w:val="20"/>
          <w:vertAlign w:val="superscript"/>
          <w:lang w:eastAsia="es-EC"/>
        </w:rPr>
        <w:t>** </w:t>
      </w:r>
      <w:r w:rsidRPr="000B76A6">
        <w:rPr>
          <w:rFonts w:ascii="Verdana" w:eastAsia="Times New Roman" w:hAnsi="Verdana" w:cs="Times New Roman"/>
          <w:color w:val="000000"/>
          <w:sz w:val="20"/>
          <w:szCs w:val="20"/>
          <w:lang w:eastAsia="es-EC"/>
        </w:rPr>
        <w:t>Abogado, Universidad de Chile. LL.M. Profesor asistente de Profesión Jurídica en la Escuela de Derecho de la Universidad de Chile</w:t>
      </w:r>
    </w:p>
    <w:p w14:paraId="2B3771ED" w14:textId="77777777" w:rsidR="000B76A6" w:rsidRPr="000B76A6" w:rsidRDefault="000B76A6" w:rsidP="000B76A6">
      <w:pPr>
        <w:shd w:val="clear" w:color="auto" w:fill="FFFFFF"/>
        <w:spacing w:after="0" w:line="240" w:lineRule="auto"/>
        <w:rPr>
          <w:rFonts w:ascii="Verdana" w:eastAsia="Times New Roman" w:hAnsi="Verdana" w:cs="Times New Roman"/>
          <w:color w:val="000000"/>
          <w:sz w:val="20"/>
          <w:szCs w:val="20"/>
          <w:lang w:eastAsia="es-EC"/>
        </w:rPr>
      </w:pPr>
      <w:bookmarkStart w:id="4" w:name="aff5"/>
      <w:bookmarkEnd w:id="4"/>
      <w:r w:rsidRPr="000B76A6">
        <w:rPr>
          <w:rFonts w:ascii="Verdana" w:eastAsia="Times New Roman" w:hAnsi="Verdana" w:cs="Times New Roman"/>
          <w:color w:val="000000"/>
          <w:sz w:val="20"/>
          <w:szCs w:val="20"/>
          <w:vertAlign w:val="superscript"/>
          <w:lang w:eastAsia="es-EC"/>
        </w:rPr>
        <w:t>5</w:t>
      </w:r>
      <w:r w:rsidRPr="000B76A6">
        <w:rPr>
          <w:rFonts w:ascii="Verdana" w:eastAsia="Times New Roman" w:hAnsi="Verdana" w:cs="Times New Roman"/>
          <w:color w:val="000000"/>
          <w:sz w:val="20"/>
          <w:szCs w:val="20"/>
          <w:lang w:eastAsia="es-EC"/>
        </w:rPr>
        <w:t> University of California , Berkeley .</w:t>
      </w:r>
    </w:p>
    <w:p w14:paraId="091A59A2" w14:textId="77777777" w:rsidR="000B76A6" w:rsidRPr="000B76A6" w:rsidRDefault="000B76A6" w:rsidP="000B76A6">
      <w:pPr>
        <w:shd w:val="clear" w:color="auto" w:fill="FFFFFF"/>
        <w:spacing w:after="0" w:line="240" w:lineRule="auto"/>
        <w:rPr>
          <w:rFonts w:ascii="Verdana" w:eastAsia="Times New Roman" w:hAnsi="Verdana" w:cs="Times New Roman"/>
          <w:color w:val="000000"/>
          <w:sz w:val="20"/>
          <w:szCs w:val="20"/>
          <w:lang w:eastAsia="es-EC"/>
        </w:rPr>
      </w:pPr>
      <w:bookmarkStart w:id="5" w:name="aff6"/>
      <w:bookmarkEnd w:id="5"/>
      <w:r w:rsidRPr="000B76A6">
        <w:rPr>
          <w:rFonts w:ascii="Verdana" w:eastAsia="Times New Roman" w:hAnsi="Verdana" w:cs="Times New Roman"/>
          <w:color w:val="000000"/>
          <w:sz w:val="20"/>
          <w:szCs w:val="20"/>
          <w:vertAlign w:val="superscript"/>
          <w:lang w:eastAsia="es-EC"/>
        </w:rPr>
        <w:t>6</w:t>
      </w:r>
      <w:r w:rsidRPr="000B76A6">
        <w:rPr>
          <w:rFonts w:ascii="Verdana" w:eastAsia="Times New Roman" w:hAnsi="Verdana" w:cs="Times New Roman"/>
          <w:color w:val="000000"/>
          <w:sz w:val="20"/>
          <w:szCs w:val="20"/>
          <w:lang w:eastAsia="es-EC"/>
        </w:rPr>
        <w:t>MSc y Ph.D. University of Bristol .</w:t>
      </w:r>
    </w:p>
    <w:p w14:paraId="52ED48BC" w14:textId="77777777" w:rsidR="000B76A6" w:rsidRPr="000B76A6" w:rsidRDefault="000B76A6" w:rsidP="000B76A6">
      <w:pPr>
        <w:shd w:val="clear" w:color="auto" w:fill="FFFFFF"/>
        <w:spacing w:after="100" w:afterAutospacing="1" w:line="240" w:lineRule="auto"/>
        <w:rPr>
          <w:rFonts w:ascii="Verdana" w:eastAsia="Times New Roman" w:hAnsi="Verdana" w:cs="Times New Roman"/>
          <w:b/>
          <w:bCs/>
          <w:caps/>
          <w:color w:val="000000"/>
          <w:sz w:val="24"/>
          <w:szCs w:val="24"/>
          <w:lang w:eastAsia="es-EC"/>
        </w:rPr>
      </w:pPr>
      <w:bookmarkStart w:id="6" w:name="RESUMEN"/>
      <w:r w:rsidRPr="000B76A6">
        <w:rPr>
          <w:rFonts w:ascii="Verdana" w:eastAsia="Times New Roman" w:hAnsi="Verdana" w:cs="Times New Roman"/>
          <w:b/>
          <w:bCs/>
          <w:caps/>
          <w:color w:val="000000"/>
          <w:sz w:val="24"/>
          <w:szCs w:val="24"/>
          <w:lang w:eastAsia="es-EC"/>
        </w:rPr>
        <w:t>RESUMEN</w:t>
      </w:r>
      <w:bookmarkEnd w:id="6"/>
    </w:p>
    <w:p w14:paraId="740C269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C"/>
        </w:rPr>
      </w:pPr>
      <w:r w:rsidRPr="000B76A6">
        <w:rPr>
          <w:rFonts w:ascii="Verdana" w:eastAsia="Times New Roman" w:hAnsi="Verdana" w:cs="Times New Roman"/>
          <w:color w:val="000000"/>
          <w:sz w:val="19"/>
          <w:szCs w:val="19"/>
          <w:lang w:eastAsia="es-EC"/>
        </w:rPr>
        <w:t>El artículo analiza, a la luz de la ética profesional de la abogacía, la conducta de un abogado que simula litigar a nombre propio en circunstancias que lo hace por el interés de un tercero, cuya identidad permanece oculta. Esta conducta es llamada litigación aparente y el abogado que la despliega, litigante aparente. Los </w:t>
      </w:r>
      <w:r w:rsidRPr="000B76A6">
        <w:rPr>
          <w:rFonts w:ascii="Verdana" w:eastAsia="Times New Roman" w:hAnsi="Verdana" w:cs="Times New Roman"/>
          <w:i/>
          <w:iCs/>
          <w:color w:val="000000"/>
          <w:sz w:val="19"/>
          <w:szCs w:val="19"/>
          <w:lang w:eastAsia="es-EC"/>
        </w:rPr>
        <w:t>CEP</w:t>
      </w:r>
      <w:r w:rsidRPr="000B76A6">
        <w:rPr>
          <w:rFonts w:ascii="Verdana" w:eastAsia="Times New Roman" w:hAnsi="Verdana" w:cs="Times New Roman"/>
          <w:color w:val="000000"/>
          <w:sz w:val="19"/>
          <w:szCs w:val="19"/>
          <w:lang w:eastAsia="es-EC"/>
        </w:rPr>
        <w:t> de 1948 y de 2011 no han condenado expresamente al litigante aparente, pero la jurisprudencia sí sobre la base de deberes generales ( </w:t>
      </w:r>
      <w:r w:rsidRPr="000B76A6">
        <w:rPr>
          <w:rFonts w:ascii="Verdana" w:eastAsia="Times New Roman" w:hAnsi="Verdana" w:cs="Times New Roman"/>
          <w:i/>
          <w:iCs/>
          <w:color w:val="000000"/>
          <w:sz w:val="19"/>
          <w:szCs w:val="19"/>
          <w:lang w:eastAsia="es-EC"/>
        </w:rPr>
        <w:t>v.gr</w:t>
      </w:r>
      <w:r w:rsidRPr="000B76A6">
        <w:rPr>
          <w:rFonts w:ascii="Verdana" w:eastAsia="Times New Roman" w:hAnsi="Verdana" w:cs="Times New Roman"/>
          <w:color w:val="000000"/>
          <w:sz w:val="19"/>
          <w:szCs w:val="19"/>
          <w:lang w:eastAsia="es-EC"/>
        </w:rPr>
        <w:t> ., el deber de honradez ante el tribunal). Existe una tendencia similar en el derecho comparado, por desviación del correcto actuar profesional. El derecho comparado muestra, además, que la identidad de la persona que acciona no está amparada por el deber de confidencialidad. El artículo comienza describiendo las reglas del </w:t>
      </w:r>
      <w:r w:rsidRPr="000B76A6">
        <w:rPr>
          <w:rFonts w:ascii="Verdana" w:eastAsia="Times New Roman" w:hAnsi="Verdana" w:cs="Times New Roman"/>
          <w:i/>
          <w:iCs/>
          <w:color w:val="000000"/>
          <w:sz w:val="19"/>
          <w:szCs w:val="19"/>
          <w:lang w:eastAsia="es-EC"/>
        </w:rPr>
        <w:t>CEP</w:t>
      </w:r>
      <w:r w:rsidRPr="000B76A6">
        <w:rPr>
          <w:rFonts w:ascii="Verdana" w:eastAsia="Times New Roman" w:hAnsi="Verdana" w:cs="Times New Roman"/>
          <w:color w:val="000000"/>
          <w:sz w:val="19"/>
          <w:szCs w:val="19"/>
          <w:lang w:eastAsia="es-EC"/>
        </w:rPr>
        <w:t> de 2011, que justifican la condena del litigante aparente. Luego, se refiere a las reglas del </w:t>
      </w:r>
      <w:r w:rsidRPr="000B76A6">
        <w:rPr>
          <w:rFonts w:ascii="Verdana" w:eastAsia="Times New Roman" w:hAnsi="Verdana" w:cs="Times New Roman"/>
          <w:i/>
          <w:iCs/>
          <w:color w:val="000000"/>
          <w:sz w:val="19"/>
          <w:szCs w:val="19"/>
          <w:lang w:eastAsia="es-EC"/>
        </w:rPr>
        <w:t>CEP</w:t>
      </w:r>
      <w:r w:rsidRPr="000B76A6">
        <w:rPr>
          <w:rFonts w:ascii="Verdana" w:eastAsia="Times New Roman" w:hAnsi="Verdana" w:cs="Times New Roman"/>
          <w:color w:val="000000"/>
          <w:sz w:val="19"/>
          <w:szCs w:val="19"/>
          <w:lang w:eastAsia="es-EC"/>
        </w:rPr>
        <w:t> de 1948 y la jurisprudencia que el Colegio de Abogados desarrolló al respecto. Después, aborda la litigación aparente en el derecho comparado. Finaliza considerando dos puntos adicionales: la posibilidad de que el litigante aparente esté cubierto por el deber de confidencialidad en Chile y si la legislación sobre comparecencia en juicio podría autorizar la litigación aparente.</w:t>
      </w:r>
    </w:p>
    <w:p w14:paraId="1130737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C"/>
        </w:rPr>
      </w:pPr>
      <w:r w:rsidRPr="000B76A6">
        <w:rPr>
          <w:rFonts w:ascii="Verdana" w:eastAsia="Times New Roman" w:hAnsi="Verdana" w:cs="Times New Roman"/>
          <w:b/>
          <w:bCs/>
          <w:color w:val="000000"/>
          <w:sz w:val="19"/>
          <w:szCs w:val="19"/>
          <w:lang w:eastAsia="es-EC"/>
        </w:rPr>
        <w:lastRenderedPageBreak/>
        <w:t>Palabras-clave: </w:t>
      </w:r>
      <w:r w:rsidRPr="000B76A6">
        <w:rPr>
          <w:rFonts w:ascii="Verdana" w:eastAsia="Times New Roman" w:hAnsi="Verdana" w:cs="Times New Roman"/>
          <w:color w:val="000000"/>
          <w:sz w:val="19"/>
          <w:szCs w:val="19"/>
          <w:lang w:eastAsia="es-EC"/>
        </w:rPr>
        <w:t>simulación al litigar; buena fe procesal; lealtad en la litigación; deber de confidencialidad</w:t>
      </w:r>
    </w:p>
    <w:p w14:paraId="0AC9D67A" w14:textId="77777777" w:rsidR="000B76A6" w:rsidRPr="000B76A6" w:rsidRDefault="000B76A6" w:rsidP="000B76A6">
      <w:pPr>
        <w:shd w:val="clear" w:color="auto" w:fill="FFFFFF"/>
        <w:spacing w:after="100" w:afterAutospacing="1" w:line="240" w:lineRule="auto"/>
        <w:rPr>
          <w:rFonts w:ascii="Verdana" w:eastAsia="Times New Roman" w:hAnsi="Verdana" w:cs="Times New Roman"/>
          <w:b/>
          <w:bCs/>
          <w:caps/>
          <w:color w:val="000000"/>
          <w:sz w:val="24"/>
          <w:szCs w:val="24"/>
          <w:lang w:eastAsia="es-EC"/>
        </w:rPr>
      </w:pPr>
      <w:bookmarkStart w:id="7" w:name="ABSTRACT"/>
      <w:r w:rsidRPr="000B76A6">
        <w:rPr>
          <w:rFonts w:ascii="Verdana" w:eastAsia="Times New Roman" w:hAnsi="Verdana" w:cs="Times New Roman"/>
          <w:b/>
          <w:bCs/>
          <w:caps/>
          <w:color w:val="000000"/>
          <w:sz w:val="24"/>
          <w:szCs w:val="24"/>
          <w:lang w:eastAsia="es-EC"/>
        </w:rPr>
        <w:t>ABSTRACT</w:t>
      </w:r>
      <w:bookmarkEnd w:id="7"/>
    </w:p>
    <w:p w14:paraId="7C35B5A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C"/>
        </w:rPr>
      </w:pPr>
      <w:r w:rsidRPr="000B76A6">
        <w:rPr>
          <w:rFonts w:ascii="Verdana" w:eastAsia="Times New Roman" w:hAnsi="Verdana" w:cs="Times New Roman"/>
          <w:color w:val="000000"/>
          <w:sz w:val="19"/>
          <w:szCs w:val="19"/>
          <w:lang w:eastAsia="es-EC"/>
        </w:rPr>
        <w:t>The article analyzes, in accordance with legal ethics provisions, the behavior of a lawyer who pretends to litigate in his own name but he actually is doing so for the interest of a third party whose identity remains hidden. This conduct is called sham litigation and the lawyer who displays it, sham litigator. </w:t>
      </w:r>
      <w:r w:rsidRPr="000B76A6">
        <w:rPr>
          <w:rFonts w:ascii="Verdana" w:eastAsia="Times New Roman" w:hAnsi="Verdana" w:cs="Times New Roman"/>
          <w:i/>
          <w:iCs/>
          <w:color w:val="000000"/>
          <w:sz w:val="19"/>
          <w:szCs w:val="19"/>
          <w:lang w:eastAsia="es-EC"/>
        </w:rPr>
        <w:t>CEP</w:t>
      </w:r>
      <w:r w:rsidRPr="000B76A6">
        <w:rPr>
          <w:rFonts w:ascii="Verdana" w:eastAsia="Times New Roman" w:hAnsi="Verdana" w:cs="Times New Roman"/>
          <w:color w:val="000000"/>
          <w:sz w:val="19"/>
          <w:szCs w:val="19"/>
          <w:lang w:eastAsia="es-EC"/>
        </w:rPr>
        <w:t> of 1948 and 2011 have not expressly penalized sham litigants, but disciplinary rulings have sentenced them in application of general duties ( </w:t>
      </w:r>
      <w:r w:rsidRPr="000B76A6">
        <w:rPr>
          <w:rFonts w:ascii="Verdana" w:eastAsia="Times New Roman" w:hAnsi="Verdana" w:cs="Times New Roman"/>
          <w:i/>
          <w:iCs/>
          <w:color w:val="000000"/>
          <w:sz w:val="19"/>
          <w:szCs w:val="19"/>
          <w:lang w:eastAsia="es-EC"/>
        </w:rPr>
        <w:t>e.g</w:t>
      </w:r>
      <w:r w:rsidRPr="000B76A6">
        <w:rPr>
          <w:rFonts w:ascii="Verdana" w:eastAsia="Times New Roman" w:hAnsi="Verdana" w:cs="Times New Roman"/>
          <w:color w:val="000000"/>
          <w:sz w:val="19"/>
          <w:szCs w:val="19"/>
          <w:lang w:eastAsia="es-EC"/>
        </w:rPr>
        <w:t> ., the duty of candor before court). A similar trend exists in comparative law, judging it as deviance from due professional conduct. Comparative law also shows that the identity of plaintiffs is not protected by the duty of confidentiality. The article begins by describing </w:t>
      </w:r>
      <w:r w:rsidRPr="000B76A6">
        <w:rPr>
          <w:rFonts w:ascii="Verdana" w:eastAsia="Times New Roman" w:hAnsi="Verdana" w:cs="Times New Roman"/>
          <w:i/>
          <w:iCs/>
          <w:color w:val="000000"/>
          <w:sz w:val="19"/>
          <w:szCs w:val="19"/>
          <w:lang w:eastAsia="es-EC"/>
        </w:rPr>
        <w:t>CEP</w:t>
      </w:r>
      <w:r w:rsidRPr="000B76A6">
        <w:rPr>
          <w:rFonts w:ascii="Verdana" w:eastAsia="Times New Roman" w:hAnsi="Verdana" w:cs="Times New Roman"/>
          <w:color w:val="000000"/>
          <w:sz w:val="19"/>
          <w:szCs w:val="19"/>
          <w:lang w:eastAsia="es-EC"/>
        </w:rPr>
        <w:t> 2011 rules which justify penalizing apparent litigants. Then it refers to the rules of </w:t>
      </w:r>
      <w:r w:rsidRPr="000B76A6">
        <w:rPr>
          <w:rFonts w:ascii="Verdana" w:eastAsia="Times New Roman" w:hAnsi="Verdana" w:cs="Times New Roman"/>
          <w:i/>
          <w:iCs/>
          <w:color w:val="000000"/>
          <w:sz w:val="19"/>
          <w:szCs w:val="19"/>
          <w:lang w:eastAsia="es-EC"/>
        </w:rPr>
        <w:t>CEP</w:t>
      </w:r>
      <w:r w:rsidRPr="000B76A6">
        <w:rPr>
          <w:rFonts w:ascii="Verdana" w:eastAsia="Times New Roman" w:hAnsi="Verdana" w:cs="Times New Roman"/>
          <w:color w:val="000000"/>
          <w:sz w:val="19"/>
          <w:szCs w:val="19"/>
          <w:lang w:eastAsia="es-EC"/>
        </w:rPr>
        <w:t> 1948 and the case law developed by the Chilean Bar Association in this regard. Subsequently, it deals with sham litigation in comparative law. It then considers two additional issues: the possibility that the sham litigation is covered by the duty of confidentiality in Chile and whether the law on appearance in court could authorize sham litigation.</w:t>
      </w:r>
    </w:p>
    <w:p w14:paraId="33877FE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C"/>
        </w:rPr>
      </w:pPr>
      <w:r w:rsidRPr="000B76A6">
        <w:rPr>
          <w:rFonts w:ascii="Verdana" w:eastAsia="Times New Roman" w:hAnsi="Verdana" w:cs="Times New Roman"/>
          <w:b/>
          <w:bCs/>
          <w:color w:val="000000"/>
          <w:sz w:val="19"/>
          <w:szCs w:val="19"/>
          <w:lang w:eastAsia="es-EC"/>
        </w:rPr>
        <w:t>Key words: </w:t>
      </w:r>
      <w:r w:rsidRPr="000B76A6">
        <w:rPr>
          <w:rFonts w:ascii="Verdana" w:eastAsia="Times New Roman" w:hAnsi="Verdana" w:cs="Times New Roman"/>
          <w:color w:val="000000"/>
          <w:sz w:val="19"/>
          <w:szCs w:val="19"/>
          <w:lang w:eastAsia="es-EC"/>
        </w:rPr>
        <w:t>Sham litigation; procedural good faith; fairness to opposing party and counsel; duty of confidentiality</w:t>
      </w:r>
    </w:p>
    <w:p w14:paraId="70424A2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8" w:name="idm104"/>
      <w:bookmarkEnd w:id="8"/>
      <w:r w:rsidRPr="000B76A6">
        <w:rPr>
          <w:rFonts w:ascii="Verdana" w:eastAsia="Times New Roman" w:hAnsi="Verdana" w:cs="Times New Roman"/>
          <w:b/>
          <w:bCs/>
          <w:color w:val="000000"/>
          <w:sz w:val="20"/>
          <w:szCs w:val="20"/>
          <w:lang w:eastAsia="es-EC"/>
        </w:rPr>
        <w:t>INTERROGANTE A RESOLVER</w:t>
      </w:r>
    </w:p>
    <w:p w14:paraId="3A22E14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Se nos ha pedido informar a partir de la siguiente hipótesis de hecho: un abogado acciona judicialmente aparentando hacerlo a nombre propio y no a nombre del tercero por cuyo interés el abogado está realmente accionando. La existencia de este tercero es mantenida oculta por dicho profesional. Esta conducta es llamada litigación aparente y el abogado que la despliega es llamado litigante aparente. El encargo consiste en calificar esta conducta a la luz de la ética profesional de la abogacía vigente en Chile </w:t>
      </w:r>
      <w:hyperlink r:id="rId8" w:anchor="fn1" w:history="1">
        <w:r w:rsidRPr="000B76A6">
          <w:rPr>
            <w:rFonts w:ascii="Verdana" w:eastAsia="Times New Roman" w:hAnsi="Verdana" w:cs="Times New Roman"/>
            <w:color w:val="0000FF"/>
            <w:sz w:val="20"/>
            <w:szCs w:val="20"/>
            <w:u w:val="single"/>
            <w:vertAlign w:val="superscript"/>
            <w:lang w:eastAsia="es-EC"/>
          </w:rPr>
          <w:t>1</w:t>
        </w:r>
      </w:hyperlink>
      <w:r w:rsidRPr="000B76A6">
        <w:rPr>
          <w:rFonts w:ascii="Verdana" w:eastAsia="Times New Roman" w:hAnsi="Verdana" w:cs="Times New Roman"/>
          <w:color w:val="000000"/>
          <w:sz w:val="20"/>
          <w:szCs w:val="20"/>
          <w:lang w:eastAsia="es-EC"/>
        </w:rPr>
        <w:t> .</w:t>
      </w:r>
    </w:p>
    <w:p w14:paraId="672A36F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Este informe sostiene que la litigación aparente pugna con nuestra regulación ético-profesional. De hecho, ella contrariaba lo dispuesto por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y lo hace hoy con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w:t>
      </w:r>
    </w:p>
    <w:p w14:paraId="598C76F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Ninguno de estos códigos ha contemplado una censura expresa del litigante aparente. Pero la jurisprudencia ética dictada bajo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impuso sanciones a litigantes aparentes, basándose en disposiciones más generales de ese </w:t>
      </w:r>
      <w:r w:rsidRPr="000B76A6">
        <w:rPr>
          <w:rFonts w:ascii="Verdana" w:eastAsia="Times New Roman" w:hAnsi="Verdana" w:cs="Times New Roman"/>
          <w:i/>
          <w:iCs/>
          <w:color w:val="000000"/>
          <w:sz w:val="20"/>
          <w:szCs w:val="20"/>
          <w:lang w:eastAsia="es-EC"/>
        </w:rPr>
        <w:t>Código</w:t>
      </w:r>
      <w:r w:rsidRPr="000B76A6">
        <w:rPr>
          <w:rFonts w:ascii="Verdana" w:eastAsia="Times New Roman" w:hAnsi="Verdana" w:cs="Times New Roman"/>
          <w:color w:val="000000"/>
          <w:sz w:val="20"/>
          <w:szCs w:val="20"/>
          <w:lang w:eastAsia="es-EC"/>
        </w:rPr>
        <w:t> como, por ejemplo, el deber de honradez ante el tribunal. Esas disposiciones están recogidas en el actual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 por lo que solo cabe suponer que, probado un caso de litigación aparente, la decisión hoy también será sancionatoria. Esto, por lo demás, no sería extraño: varios códigos de ética profesional más o menos recientes, en distintas jurisdicciones, muestran que la regulación comparada también mira con malos ojos al litigante aparente. Y hay consenso en que la existencia e identidad de la persona que acciona en juicio no queda amparada por el deber de confidencialidad.</w:t>
      </w:r>
    </w:p>
    <w:p w14:paraId="7CBC4FD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Para desplegar este argumento procedemos de la siguiente manera.</w:t>
      </w:r>
    </w:p>
    <w:p w14:paraId="5F4F1BAE" w14:textId="77777777" w:rsidR="000B76A6" w:rsidRPr="000B76A6" w:rsidRDefault="000B76A6" w:rsidP="000B76A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 w:name="idm117"/>
      <w:bookmarkEnd w:id="9"/>
      <w:r w:rsidRPr="000B76A6">
        <w:rPr>
          <w:rFonts w:ascii="Verdana" w:eastAsia="Times New Roman" w:hAnsi="Verdana" w:cs="Times New Roman"/>
          <w:color w:val="000000"/>
          <w:sz w:val="20"/>
          <w:szCs w:val="20"/>
          <w:lang w:eastAsia="es-EC"/>
        </w:rPr>
        <w:t>describimos las reglas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vigente que justifican la censura del litigante aparente.</w:t>
      </w:r>
    </w:p>
    <w:p w14:paraId="78E5CDBB" w14:textId="77777777" w:rsidR="000B76A6" w:rsidRPr="000B76A6" w:rsidRDefault="000B76A6" w:rsidP="000B76A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mencionamos las que tenía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y la jurisprudencia que el Colegio de Abogados desarrolló al amparo de ellas respecto del litigante aparente.</w:t>
      </w:r>
    </w:p>
    <w:p w14:paraId="231271E0" w14:textId="77777777" w:rsidR="000B76A6" w:rsidRPr="000B76A6" w:rsidRDefault="000B76A6" w:rsidP="000B76A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reproducimos algunas reglas ético-profesionales comparadas que también justifican la censura del litigante aparente.</w:t>
      </w:r>
    </w:p>
    <w:p w14:paraId="15A76A6E" w14:textId="77777777" w:rsidR="000B76A6" w:rsidRPr="000B76A6" w:rsidRDefault="000B76A6" w:rsidP="000B76A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consideramos la posibilidad de que el litigante aparente pudiera estar cubierto por el deber de confidencialidad y por el secreto profesional.</w:t>
      </w:r>
    </w:p>
    <w:p w14:paraId="52AABF73" w14:textId="77777777" w:rsidR="000B76A6" w:rsidRPr="000B76A6" w:rsidRDefault="000B76A6" w:rsidP="000B76A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revisamos la legislación sobre comparecencia en juicio a objeto de ver si algo en ella autoriza la conducta del litigante aparente.</w:t>
      </w:r>
    </w:p>
    <w:p w14:paraId="7B7F6F2C" w14:textId="77777777" w:rsidR="000B76A6" w:rsidRPr="000B76A6" w:rsidRDefault="000B76A6" w:rsidP="000B76A6">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concluimos.</w:t>
      </w:r>
    </w:p>
    <w:p w14:paraId="62D8E75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0" w:name="idm132"/>
      <w:bookmarkEnd w:id="10"/>
      <w:r w:rsidRPr="000B76A6">
        <w:rPr>
          <w:rFonts w:ascii="Verdana" w:eastAsia="Times New Roman" w:hAnsi="Verdana" w:cs="Times New Roman"/>
          <w:b/>
          <w:bCs/>
          <w:color w:val="000000"/>
          <w:sz w:val="20"/>
          <w:szCs w:val="20"/>
          <w:lang w:eastAsia="es-EC"/>
        </w:rPr>
        <w:t>I. EL LITIGANTE APARENTE Y EL </w:t>
      </w:r>
      <w:r w:rsidRPr="000B76A6">
        <w:rPr>
          <w:rFonts w:ascii="Verdana" w:eastAsia="Times New Roman" w:hAnsi="Verdana" w:cs="Times New Roman"/>
          <w:b/>
          <w:bCs/>
          <w:i/>
          <w:iCs/>
          <w:color w:val="000000"/>
          <w:sz w:val="20"/>
          <w:szCs w:val="20"/>
          <w:lang w:eastAsia="es-EC"/>
        </w:rPr>
        <w:t>CEP</w:t>
      </w:r>
      <w:r w:rsidRPr="000B76A6">
        <w:rPr>
          <w:rFonts w:ascii="Verdana" w:eastAsia="Times New Roman" w:hAnsi="Verdana" w:cs="Times New Roman"/>
          <w:b/>
          <w:bCs/>
          <w:color w:val="000000"/>
          <w:sz w:val="20"/>
          <w:szCs w:val="20"/>
          <w:lang w:eastAsia="es-EC"/>
        </w:rPr>
        <w:t> VIGENTE</w:t>
      </w:r>
    </w:p>
    <w:p w14:paraId="3630C8B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Son varias las disposiciones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que permiten concluir la incorrección ética en que incurre el litigante aparente. El núcleo de ellas está contemplado en la sección tercera, relativa a la conducta debida de los abogados en sus actuaciones procesales. Y es lo dispuesto en los primeros incisos de los arts. 95.º y 96.º, que se reproducen a continuación:</w:t>
      </w:r>
    </w:p>
    <w:p w14:paraId="08908D24"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95º. Lealtad en la litigación. El abogado litigará de manera leal, velando por que su comportamiento no afecte o ponga en peligro la imparcialidad del juzgador, ni vulnere las garantías procesales y el respeto debido a la contraparte.</w:t>
      </w:r>
    </w:p>
    <w:p w14:paraId="2C83593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96º. Respeto a las reglas de procedimiento. El abogado observará de buena fe las reglas procesales establecidas por la ley o por la convención entre las partes y no realizará actuaciones dirigidas a impedir que la contra parte ejerza debidamente sus derechos”.</w:t>
      </w:r>
    </w:p>
    <w:p w14:paraId="4601B91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siguiente cita sintetiza bien el sentido de las disposiciones recién citadas:</w:t>
      </w:r>
    </w:p>
    <w:p w14:paraId="4B259C37"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buena fe procesal no se agota en su faz negativa, de prohibiciones y abstenciones, sino que, también, tiene un aspecto positivo, de normas que impulsan algunas conductas y que ameritan un nivel de detalle similar al que propone este </w:t>
      </w:r>
      <w:r w:rsidRPr="000B76A6">
        <w:rPr>
          <w:rFonts w:ascii="Verdana" w:eastAsia="Times New Roman" w:hAnsi="Verdana" w:cs="Times New Roman"/>
          <w:i/>
          <w:iCs/>
          <w:color w:val="000000"/>
          <w:sz w:val="20"/>
          <w:szCs w:val="20"/>
          <w:lang w:eastAsia="es-EC"/>
        </w:rPr>
        <w:t>Código de Ética</w:t>
      </w:r>
      <w:r w:rsidRPr="000B76A6">
        <w:rPr>
          <w:rFonts w:ascii="Verdana" w:eastAsia="Times New Roman" w:hAnsi="Verdana" w:cs="Times New Roman"/>
          <w:color w:val="000000"/>
          <w:sz w:val="20"/>
          <w:szCs w:val="20"/>
          <w:lang w:eastAsia="es-EC"/>
        </w:rPr>
        <w:t> . Bajo una tesis más que mínima, la buena fe precisa de un anclaje normativo más o menos diáfano a efectos de moldear las relaciones procesales sobre la base de una idea de </w:t>
      </w:r>
      <w:r w:rsidRPr="000B76A6">
        <w:rPr>
          <w:rFonts w:ascii="Verdana" w:eastAsia="Times New Roman" w:hAnsi="Verdana" w:cs="Times New Roman"/>
          <w:i/>
          <w:iCs/>
          <w:color w:val="000000"/>
          <w:sz w:val="20"/>
          <w:szCs w:val="20"/>
          <w:lang w:eastAsia="es-EC"/>
        </w:rPr>
        <w:t>reciprocidad</w:t>
      </w:r>
      <w:r w:rsidRPr="000B76A6">
        <w:rPr>
          <w:rFonts w:ascii="Verdana" w:eastAsia="Times New Roman" w:hAnsi="Verdana" w:cs="Times New Roman"/>
          <w:color w:val="000000"/>
          <w:sz w:val="20"/>
          <w:szCs w:val="20"/>
          <w:lang w:eastAsia="es-EC"/>
        </w:rPr>
        <w:t> , según cuál sea la </w:t>
      </w:r>
      <w:r w:rsidRPr="000B76A6">
        <w:rPr>
          <w:rFonts w:ascii="Verdana" w:eastAsia="Times New Roman" w:hAnsi="Verdana" w:cs="Times New Roman"/>
          <w:i/>
          <w:iCs/>
          <w:color w:val="000000"/>
          <w:sz w:val="20"/>
          <w:szCs w:val="20"/>
          <w:lang w:eastAsia="es-EC"/>
        </w:rPr>
        <w:t>posición</w:t>
      </w:r>
      <w:r w:rsidRPr="000B76A6">
        <w:rPr>
          <w:rFonts w:ascii="Verdana" w:eastAsia="Times New Roman" w:hAnsi="Verdana" w:cs="Times New Roman"/>
          <w:color w:val="000000"/>
          <w:sz w:val="20"/>
          <w:szCs w:val="20"/>
          <w:lang w:eastAsia="es-EC"/>
        </w:rPr>
        <w:t> que ocupa cada uno de los intervinientes en el juicio” </w:t>
      </w:r>
      <w:hyperlink r:id="rId9" w:anchor="fn2" w:history="1">
        <w:r w:rsidRPr="000B76A6">
          <w:rPr>
            <w:rFonts w:ascii="Verdana" w:eastAsia="Times New Roman" w:hAnsi="Verdana" w:cs="Times New Roman"/>
            <w:color w:val="0000FF"/>
            <w:sz w:val="20"/>
            <w:szCs w:val="20"/>
            <w:u w:val="single"/>
            <w:vertAlign w:val="superscript"/>
            <w:lang w:eastAsia="es-EC"/>
          </w:rPr>
          <w:t>2</w:t>
        </w:r>
      </w:hyperlink>
      <w:r w:rsidRPr="000B76A6">
        <w:rPr>
          <w:rFonts w:ascii="Verdana" w:eastAsia="Times New Roman" w:hAnsi="Verdana" w:cs="Times New Roman"/>
          <w:color w:val="000000"/>
          <w:sz w:val="20"/>
          <w:szCs w:val="20"/>
          <w:lang w:eastAsia="es-EC"/>
        </w:rPr>
        <w:t> .</w:t>
      </w:r>
    </w:p>
    <w:p w14:paraId="7CE6B80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litigación aparente, entonces, constituye una deslealtad frente al sistema jurídico y frente a la contraparte. Vulnera las garantías procesales, pues impide que la contraparte pueda ejercer sus derechos y, por lo mismo, impide que los mecanismos diseñados para garantizar la corrección en el ejercicio jurisdiccional puedan operar. Y, respecto de la relación profesional entre abogados, viola lo dispuesto en el art. 106: “Los abogados deben mantener recíproco respeto y consideración”.</w:t>
      </w:r>
    </w:p>
    <w:p w14:paraId="3A2FD54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Este núcleo ético-normativo se conecta con otras disposiciones generales y básicas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 Por ejemplo, las contenidas en el art. 2.º:</w:t>
      </w:r>
    </w:p>
    <w:p w14:paraId="581565FF"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“Cuidado de las instituciones. Las actuaciones del abogado deben promover, y en caso alguno afectar, la confianza y el respeto por la profesión, la correcta y eficaz administración de justicia, y la vigencia del estado de derecho”.</w:t>
      </w:r>
    </w:p>
    <w:p w14:paraId="47F6CEB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También en el art. 5.º: “Honradez. El abogado debe obrar con honradez, integridad y buena fe y no ha de aconsejarle a su cliente actos fraudulentos”.</w:t>
      </w:r>
    </w:p>
    <w:p w14:paraId="6266001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en el art. 1.º, por supuesto, que sintetiza a las anteriores: “Honor y dignidad de la profesión. El abogado debe cuidar el honor y dignidad de la profesión”.</w:t>
      </w:r>
    </w:p>
    <w:p w14:paraId="7E1EBE4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 necesario tener presente que el orden jurisdiccional prevé un conjunto de mecanismos mediante los cuales la ley y la ética profesional buscan velar por su corrección. Esta corrección está constituida por la imparcialidad del tribunal y por el pie de igualdad que las partes deben mantener al litigar. Como ya se adelantó, la litigación aparente pone en peligro ambas dimensiones.</w:t>
      </w:r>
    </w:p>
    <w:p w14:paraId="7C77C6D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Por lo pronto, impide que opere el mecanismo de implicancia y recusación consagrado en el §11 del título VII del </w:t>
      </w:r>
      <w:r w:rsidRPr="000B76A6">
        <w:rPr>
          <w:rFonts w:ascii="Verdana" w:eastAsia="Times New Roman" w:hAnsi="Verdana" w:cs="Times New Roman"/>
          <w:i/>
          <w:iCs/>
          <w:color w:val="000000"/>
          <w:sz w:val="20"/>
          <w:szCs w:val="20"/>
          <w:lang w:eastAsia="es-EC"/>
        </w:rPr>
        <w:t>COT</w:t>
      </w:r>
      <w:r w:rsidRPr="000B76A6">
        <w:rPr>
          <w:rFonts w:ascii="Verdana" w:eastAsia="Times New Roman" w:hAnsi="Verdana" w:cs="Times New Roman"/>
          <w:color w:val="000000"/>
          <w:sz w:val="20"/>
          <w:szCs w:val="20"/>
          <w:lang w:eastAsia="es-EC"/>
        </w:rPr>
        <w:t> y en el título XII del </w:t>
      </w:r>
      <w:r w:rsidRPr="000B76A6">
        <w:rPr>
          <w:rFonts w:ascii="Verdana" w:eastAsia="Times New Roman" w:hAnsi="Verdana" w:cs="Times New Roman"/>
          <w:i/>
          <w:iCs/>
          <w:color w:val="000000"/>
          <w:sz w:val="20"/>
          <w:szCs w:val="20"/>
          <w:lang w:eastAsia="es-EC"/>
        </w:rPr>
        <w:t>CPC</w:t>
      </w:r>
      <w:r w:rsidRPr="000B76A6">
        <w:rPr>
          <w:rFonts w:ascii="Verdana" w:eastAsia="Times New Roman" w:hAnsi="Verdana" w:cs="Times New Roman"/>
          <w:color w:val="000000"/>
          <w:sz w:val="20"/>
          <w:szCs w:val="20"/>
          <w:lang w:eastAsia="es-EC"/>
        </w:rPr>
        <w:t> . Así, por ejemplo, de las doce causales de implicancia que establece el art. 195.º del </w:t>
      </w:r>
      <w:r w:rsidRPr="000B76A6">
        <w:rPr>
          <w:rFonts w:ascii="Verdana" w:eastAsia="Times New Roman" w:hAnsi="Verdana" w:cs="Times New Roman"/>
          <w:i/>
          <w:iCs/>
          <w:color w:val="000000"/>
          <w:sz w:val="20"/>
          <w:szCs w:val="20"/>
          <w:lang w:eastAsia="es-EC"/>
        </w:rPr>
        <w:t>COT</w:t>
      </w:r>
      <w:r w:rsidRPr="000B76A6">
        <w:rPr>
          <w:rFonts w:ascii="Verdana" w:eastAsia="Times New Roman" w:hAnsi="Verdana" w:cs="Times New Roman"/>
          <w:color w:val="000000"/>
          <w:sz w:val="20"/>
          <w:szCs w:val="20"/>
          <w:lang w:eastAsia="es-EC"/>
        </w:rPr>
        <w:t> , seis están establecidas en relación con la identidad de las partes. Lo mismo ocurre con las causales de recusación que consagra el art. 196.º del mismo </w:t>
      </w:r>
      <w:r w:rsidRPr="000B76A6">
        <w:rPr>
          <w:rFonts w:ascii="Verdana" w:eastAsia="Times New Roman" w:hAnsi="Verdana" w:cs="Times New Roman"/>
          <w:i/>
          <w:iCs/>
          <w:color w:val="000000"/>
          <w:sz w:val="20"/>
          <w:szCs w:val="20"/>
          <w:lang w:eastAsia="es-EC"/>
        </w:rPr>
        <w:t>Código</w:t>
      </w:r>
      <w:r w:rsidRPr="000B76A6">
        <w:rPr>
          <w:rFonts w:ascii="Verdana" w:eastAsia="Times New Roman" w:hAnsi="Verdana" w:cs="Times New Roman"/>
          <w:color w:val="000000"/>
          <w:sz w:val="20"/>
          <w:szCs w:val="20"/>
          <w:lang w:eastAsia="es-EC"/>
        </w:rPr>
        <w:t> : de las dieciocho que contempla, trece operan en relación con la identidad de las partes.</w:t>
      </w:r>
    </w:p>
    <w:p w14:paraId="1A1541B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litigante aparente mantiene en penumbra la existencia e identidad de una de las partes. Por lo mismo, su conducta hace que los mecanismos de implicancia y recusación, fundamentales para la corrección del ejercicio jurisdiccional, devengan en inoperantes.</w:t>
      </w:r>
    </w:p>
    <w:p w14:paraId="3C85CD5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Otro tanto ocurre con la regulación ético-profesional. Así, por ejemplo,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dispone toda una sección –la segunda– a lo ya señalado bajo la idea de corrección del procedimiento: garantizar la imparcialidad del tribunal y un pie de igualdad entre las partes. Está dedicada a los conflictos de funciones y de intereses, y se divide así: conflictos de funciones (título I), conflictos de intereses (título II), conflictos con el interés o convicciones personales del abogado (título III), conflictos con el interés de otro cliente (título IV) y disposiciones comunes a los conflictos de funciones y de interés (título V).</w:t>
      </w:r>
    </w:p>
    <w:p w14:paraId="7423324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De nuevo, para tener aplicación práctica, estas disposiciones exigen que los litigantes reales aparezcan en el proceso, que no sean aparentes. Basta detenerse en el art. 83.º, que establece el conflicto con el interés de otro cliente actual. ¿Cómo se puede detectar la existencia de semejante conflicto y controlar su adecuada resolución, si una de las partes permanece en la penumbra a que la relega la apariencia con que enarbola el litigante? O en el art. 85.º, que regula el conflicto de interés con un cliente anterior. ¿Cómo será posible saber y controlar si los intereses de un cliente, responden a lo que dispone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w:t>
      </w:r>
    </w:p>
    <w:p w14:paraId="054BFBE6"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“son directamente adversos a los intereses de otro cliente anterior del mismo abogado o del estudio profesional y existe además el riesgo de que la confidencialidad de las informaciones obtenidas del anterior cliente pueda ser infringida o tales informaciones pudieren permitir al nuevo cliente la obtención de una ventaja indebida”.</w:t>
      </w:r>
    </w:p>
    <w:p w14:paraId="4F0B6C0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Si la existencia e identidad de uno o ambos clientes se mantiene en secreto, el control que busca esta norma resulta ilusorio.</w:t>
      </w:r>
    </w:p>
    <w:p w14:paraId="043B978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Por otra parte,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tiene una actitud en general negativa hacia la apariencia, el encubrimiento, la actuación por interpósita persona y el ocultamiento de información. Por ejemplo, y como un caso de infracción al deber de lealtad en la litigación, el literal g) del art. 25.º ya citado dice:</w:t>
      </w:r>
    </w:p>
    <w:p w14:paraId="7D316AE9"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“destruir o impedir el acceso a piezas de información relevantes para un caso</w:t>
      </w:r>
      <w:r w:rsidRPr="000B76A6">
        <w:rPr>
          <w:rFonts w:ascii="Verdana" w:eastAsia="Times New Roman" w:hAnsi="Verdana" w:cs="Times New Roman"/>
          <w:color w:val="000000"/>
          <w:sz w:val="20"/>
          <w:szCs w:val="20"/>
          <w:lang w:eastAsia="es-EC"/>
        </w:rPr>
        <w:t> y a cuyo respecto haya deber legal o convencional de aportar al proceso, ya sea directamente o bien instruyendo o instando al cliente o a terceros para que lo hagan” (énfasis agregado).</w:t>
      </w:r>
    </w:p>
    <w:p w14:paraId="6BDF6E6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 su vez, el art. 8.º establece:</w:t>
      </w:r>
    </w:p>
    <w:p w14:paraId="759BEFC9"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“Actuaciones que encubren a quienes no están autorizados para ejercer la abogacía. El abogado no ha de permitir que se usen sus servicios profesionales o su nombre para facilitar o hacer posible el ejercicio de la profesión por quienes no estén legalmente autorizados para ejercerla. </w:t>
      </w:r>
      <w:r w:rsidRPr="000B76A6">
        <w:rPr>
          <w:rFonts w:ascii="Verdana" w:eastAsia="Times New Roman" w:hAnsi="Verdana" w:cs="Times New Roman"/>
          <w:i/>
          <w:iCs/>
          <w:color w:val="000000"/>
          <w:sz w:val="20"/>
          <w:szCs w:val="20"/>
          <w:lang w:eastAsia="es-EC"/>
        </w:rPr>
        <w:t>Falta a la ética profesional el abogado que firma escritos de los que no sea personalmente responsable o que presta su intervención sólo para cumplir en apariencia con las exigencias le-gales”</w:t>
      </w:r>
      <w:r w:rsidRPr="000B76A6">
        <w:rPr>
          <w:rFonts w:ascii="Verdana" w:eastAsia="Times New Roman" w:hAnsi="Verdana" w:cs="Times New Roman"/>
          <w:color w:val="000000"/>
          <w:sz w:val="20"/>
          <w:szCs w:val="20"/>
          <w:lang w:eastAsia="es-EC"/>
        </w:rPr>
        <w:t> (énfasis agregado).</w:t>
      </w:r>
    </w:p>
    <w:p w14:paraId="7A4AE80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art. 102.º, por su parte, regula las relaciones de los abogados con los medios de comunicación. Establece cuáles son las declaraciones que los abogados no deben hacer. Y, luego, censura en forma especialmente severa la infracción de este deber por medio de interpósita persona o con reserva de identidad:</w:t>
      </w:r>
    </w:p>
    <w:p w14:paraId="26B4580B"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“Declaraciones prohibidas. El abogado que participa o ha participado en un proceso pendiente, o en una investigación a él conducente, debe abstenerse de formular declaraciones o entregar información fuera de la investigación o proceso, cuando dichas declaraciones o información puedan afectar seriamente la imparcialidad en la conducción de la investigación o en la decisión del asunto.</w:t>
      </w:r>
    </w:p>
    <w:p w14:paraId="6FA26F7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Falta gravemente a la ética profesional quien infrinja esta regla </w:t>
      </w:r>
      <w:r w:rsidRPr="000B76A6">
        <w:rPr>
          <w:rFonts w:ascii="Verdana" w:eastAsia="Times New Roman" w:hAnsi="Verdana" w:cs="Times New Roman"/>
          <w:i/>
          <w:iCs/>
          <w:color w:val="000000"/>
          <w:sz w:val="20"/>
          <w:szCs w:val="20"/>
          <w:lang w:eastAsia="es-EC"/>
        </w:rPr>
        <w:t>valiéndose de otra persona o con reserva de identidad”</w:t>
      </w:r>
      <w:r w:rsidRPr="000B76A6">
        <w:rPr>
          <w:rFonts w:ascii="Verdana" w:eastAsia="Times New Roman" w:hAnsi="Verdana" w:cs="Times New Roman"/>
          <w:color w:val="000000"/>
          <w:sz w:val="20"/>
          <w:szCs w:val="20"/>
          <w:lang w:eastAsia="es-EC"/>
        </w:rPr>
        <w:t> (énfasis agregado).</w:t>
      </w:r>
    </w:p>
    <w:p w14:paraId="459A2CE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Esta es la única regla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que califica una conducta como “grave”. Esto implica que su eventual infracción solo podría ser sancionada con “suspensión por más de 30 días, expulsión u otra de mayor gravedad que la Ley autorice”, de acuerdo con el art. 22.º inciso 2.° del Reglamento Disciplinario del Colegio de Abogados de Chile A.G. La misma lógica tiene el art. 105.º:</w:t>
      </w:r>
    </w:p>
    <w:p w14:paraId="46B94E4B"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“Responsabilidad por terceros. El abogado a que se refiere el artículo 102 debe adoptar medidas adecuadas para impedir que sus colaboradores que no son abogados </w:t>
      </w:r>
      <w:r w:rsidRPr="000B76A6">
        <w:rPr>
          <w:rFonts w:ascii="Verdana" w:eastAsia="Times New Roman" w:hAnsi="Verdana" w:cs="Times New Roman"/>
          <w:i/>
          <w:iCs/>
          <w:color w:val="000000"/>
          <w:sz w:val="20"/>
          <w:szCs w:val="20"/>
          <w:lang w:eastAsia="es-EC"/>
        </w:rPr>
        <w:t>formulen las declaraciones o comentarios, o entreguen la información, que a él le están prohibidos”</w:t>
      </w:r>
      <w:r w:rsidRPr="000B76A6">
        <w:rPr>
          <w:rFonts w:ascii="Verdana" w:eastAsia="Times New Roman" w:hAnsi="Verdana" w:cs="Times New Roman"/>
          <w:color w:val="000000"/>
          <w:sz w:val="20"/>
          <w:szCs w:val="20"/>
          <w:lang w:eastAsia="es-EC"/>
        </w:rPr>
        <w:t> (énfasis agregado).</w:t>
      </w:r>
    </w:p>
    <w:p w14:paraId="4DFD6BD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en algún sentido, también el art. 23.º:</w:t>
      </w:r>
    </w:p>
    <w:p w14:paraId="0E1DD8D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“Relación personal del abogado con el cliente. Las relaciones del abogado con su cliente deben ser personales desde su origen. En consecuencia, el abogado no ha de aceptar el patrocinio de clientes por medio de agentes, excepto cuando se trate de instituciones altruistas para ayudar a quienes no pueden procurarse servicios profesionales por su cuenta”.</w:t>
      </w:r>
    </w:p>
    <w:p w14:paraId="2A15690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Hasta aquí los deberes que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impone a los abogados y que la conducta del litigante aparente viola. Volveremos más adelante sobre estas reglas al analizar una </w:t>
      </w:r>
      <w:hyperlink r:id="rId10" w:anchor="B30" w:history="1">
        <w:r w:rsidRPr="000B76A6">
          <w:rPr>
            <w:rFonts w:ascii="Verdana" w:eastAsia="Times New Roman" w:hAnsi="Verdana" w:cs="Times New Roman"/>
            <w:color w:val="0000FF"/>
            <w:sz w:val="20"/>
            <w:szCs w:val="20"/>
            <w:u w:val="single"/>
            <w:vertAlign w:val="superscript"/>
            <w:lang w:eastAsia="es-EC"/>
          </w:rPr>
          <w:t>sentencia de 2019</w:t>
        </w:r>
      </w:hyperlink>
      <w:r w:rsidRPr="000B76A6">
        <w:rPr>
          <w:rFonts w:ascii="Verdana" w:eastAsia="Times New Roman" w:hAnsi="Verdana" w:cs="Times New Roman"/>
          <w:color w:val="000000"/>
          <w:sz w:val="20"/>
          <w:szCs w:val="20"/>
          <w:lang w:eastAsia="es-EC"/>
        </w:rPr>
        <w:t> en la que el Tribunal de Ética del Colegio de Abogados de Chile A.G. descarta que la identidad del cliente esté amparada por el secreto profesional. Antes, revisamos las reglas que a propósito de esta materia contemplaba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Ellas son coincidentes con las que acabamos de ver. Además, examinamos la jurisprudencia que se desarrolló al respecto.</w:t>
      </w:r>
    </w:p>
    <w:p w14:paraId="126A399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1" w:name="idm194"/>
      <w:bookmarkEnd w:id="11"/>
      <w:r w:rsidRPr="000B76A6">
        <w:rPr>
          <w:rFonts w:ascii="Verdana" w:eastAsia="Times New Roman" w:hAnsi="Verdana" w:cs="Times New Roman"/>
          <w:b/>
          <w:bCs/>
          <w:color w:val="000000"/>
          <w:sz w:val="20"/>
          <w:szCs w:val="20"/>
          <w:lang w:eastAsia="es-EC"/>
        </w:rPr>
        <w:t>II. LAS REGLAS Y JURISPRUDENCIA BAJO EL </w:t>
      </w:r>
      <w:r w:rsidRPr="000B76A6">
        <w:rPr>
          <w:rFonts w:ascii="Verdana" w:eastAsia="Times New Roman" w:hAnsi="Verdana" w:cs="Times New Roman"/>
          <w:b/>
          <w:bCs/>
          <w:i/>
          <w:iCs/>
          <w:color w:val="000000"/>
          <w:sz w:val="20"/>
          <w:szCs w:val="20"/>
          <w:lang w:eastAsia="es-EC"/>
        </w:rPr>
        <w:t>CEP</w:t>
      </w:r>
      <w:r w:rsidRPr="000B76A6">
        <w:rPr>
          <w:rFonts w:ascii="Verdana" w:eastAsia="Times New Roman" w:hAnsi="Verdana" w:cs="Times New Roman"/>
          <w:b/>
          <w:bCs/>
          <w:color w:val="000000"/>
          <w:sz w:val="20"/>
          <w:szCs w:val="20"/>
          <w:lang w:eastAsia="es-EC"/>
        </w:rPr>
        <w:t> DE 1948</w:t>
      </w:r>
    </w:p>
    <w:p w14:paraId="102FEA6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Al igual que el vigente, no contemplaba disposiciones referidas al litigio aparente. </w:t>
      </w:r>
      <w:hyperlink r:id="rId11" w:anchor="fn3" w:history="1">
        <w:r w:rsidRPr="000B76A6">
          <w:rPr>
            <w:rFonts w:ascii="Verdana" w:eastAsia="Times New Roman" w:hAnsi="Verdana" w:cs="Times New Roman"/>
            <w:color w:val="0000FF"/>
            <w:sz w:val="20"/>
            <w:szCs w:val="20"/>
            <w:u w:val="single"/>
            <w:vertAlign w:val="superscript"/>
            <w:lang w:eastAsia="es-EC"/>
          </w:rPr>
          <w:t>3</w:t>
        </w:r>
      </w:hyperlink>
      <w:r w:rsidRPr="000B76A6">
        <w:rPr>
          <w:rFonts w:ascii="Verdana" w:eastAsia="Times New Roman" w:hAnsi="Verdana" w:cs="Times New Roman"/>
          <w:color w:val="000000"/>
          <w:sz w:val="20"/>
          <w:szCs w:val="20"/>
          <w:lang w:eastAsia="es-EC"/>
        </w:rPr>
        <w:t> Las disposiciones de ese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eran menos en número y más generales en su enunciación –“aspiracionales” como las llama la doctrina– que las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vigente </w:t>
      </w:r>
      <w:hyperlink r:id="rId12" w:anchor="fn4" w:history="1">
        <w:r w:rsidRPr="000B76A6">
          <w:rPr>
            <w:rFonts w:ascii="Verdana" w:eastAsia="Times New Roman" w:hAnsi="Verdana" w:cs="Times New Roman"/>
            <w:color w:val="0000FF"/>
            <w:sz w:val="20"/>
            <w:szCs w:val="20"/>
            <w:u w:val="single"/>
            <w:vertAlign w:val="superscript"/>
            <w:lang w:eastAsia="es-EC"/>
          </w:rPr>
          <w:t>4</w:t>
        </w:r>
      </w:hyperlink>
      <w:r w:rsidRPr="000B76A6">
        <w:rPr>
          <w:rFonts w:ascii="Verdana" w:eastAsia="Times New Roman" w:hAnsi="Verdana" w:cs="Times New Roman"/>
          <w:color w:val="000000"/>
          <w:sz w:val="20"/>
          <w:szCs w:val="20"/>
          <w:lang w:eastAsia="es-EC"/>
        </w:rPr>
        <w:t> . Sin embargo, en ellas también se vio lo que parece obvio: imponer a los abogados lealtad en la litigación, tanto respecto del sistema como de la contraparte. Esas disposiciones eran las que siguen:</w:t>
      </w:r>
    </w:p>
    <w:p w14:paraId="193FA8F7"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1º: Esencia del Deber Profesional. El abogado debe tener presente que es un servidor de la justicia y un colaborador de su administración; y que la esencia de su deber profesional es defender empeñosamente, con estricto apego a las normas jurídicas y morales, los derechos de su cliente.</w:t>
      </w:r>
    </w:p>
    <w:p w14:paraId="3A41CCC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2º: Defensa del Honor Profesional. El abogado debe mantener el honor y la dignidad profesionales. No solamente es un derecho, sino un deber, combatir, por todos los medios lícitos, la conducta moralmente censurable de jueces y colegas.</w:t>
      </w:r>
    </w:p>
    <w:p w14:paraId="09596E8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3º: Honradez. El abogado debe obrar con honradez y buena fe. No ha de aconsejar actos fraudulentos, afirmar o negar con falsedad, hacer citas inexactas o tendenciosas, ni realizar acto alguno que estorbe la buena y expedita administración de justicia.</w:t>
      </w:r>
    </w:p>
    <w:p w14:paraId="46F1ACB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5º: Abusos de Procedimiento. El abogado debe abstenerse del empleo de recursos y formalidades legales innecesarias, de toda gestión puramente dilatoria que entorpezca injustamente el normal desarrollo del procedimiento y de causar perjuicios innecesarios.</w:t>
      </w:r>
    </w:p>
    <w:p w14:paraId="407B145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23º. Ayuda a los que no están autorizados a ejercer la abogacía. Ningún abogado debe permitir que se usen sus servicios profesionales o su nombre, para facilitar o hacer posible el ejercicio de la profesión por quienes no estén legalmente autorizados para ejercerla. Amengua la dignidad de su profesión el abogado que firme escritos en cuya preparación no intervino o que preste su intervención sólo para cumplir exigencias legales.</w:t>
      </w:r>
    </w:p>
    <w:p w14:paraId="4CC801C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27º. Atención personal del abogado a su cliente. Las relaciones del abogado con su cliente deben ser personales, por lo que no ha de aceptar el patrocinio de clientes por medio de agentes, excepto cuando se trate de instituciones altruistas para ayuda de pobres. El patrocinio de personas morales no obliga al abogado a patrocinar a las personas físicas que actúan por ellas.</w:t>
      </w:r>
    </w:p>
    <w:p w14:paraId="2FF8332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40º. Fraternidad y respeto entre abogados. Entre los abogados debe haber fraternidad que enaltezca la profesión, respetándose recíprocamente, sin dejarse influir por la animadversión de las partes. Se abstendrán cuidadosamente de expresiones malévolas o injuriosas y de aludir a antecedentes personales, ideológicos, políticos o de otra naturaleza, de sus colegas. El abogado debe ser caballeroso con sus colegas y facilitarles la solución de inconvenientes momentáneos, cuando por causas que no le sean imputables, como ausencia, duelo, enfermedad o de fuerza mayor, estén imposibilitados para servir a su cliente. No faltará, por apremio del cliente, a su concepto de la decencia y del honor”.</w:t>
      </w:r>
    </w:p>
    <w:p w14:paraId="5FCEA06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¿Qué jurisprudencia sobre la litigación aparente se desarrolló al amparo de estos enunciados? Una sentencia relevante sobre litigantes aparentes fue la recaída en la causa </w:t>
      </w:r>
      <w:hyperlink r:id="rId13" w:anchor="B22" w:history="1">
        <w:r w:rsidRPr="000B76A6">
          <w:rPr>
            <w:rFonts w:ascii="Verdana" w:eastAsia="Times New Roman" w:hAnsi="Verdana" w:cs="Times New Roman"/>
            <w:color w:val="0000FF"/>
            <w:sz w:val="20"/>
            <w:szCs w:val="20"/>
            <w:u w:val="single"/>
            <w:vertAlign w:val="superscript"/>
            <w:lang w:eastAsia="es-EC"/>
          </w:rPr>
          <w:t>A.A. contra Y.Y. (1952)</w:t>
        </w:r>
      </w:hyperlink>
      <w:r w:rsidRPr="000B76A6">
        <w:rPr>
          <w:rFonts w:ascii="Verdana" w:eastAsia="Times New Roman" w:hAnsi="Verdana" w:cs="Times New Roman"/>
          <w:color w:val="000000"/>
          <w:sz w:val="20"/>
          <w:szCs w:val="20"/>
          <w:lang w:eastAsia="es-EC"/>
        </w:rPr>
        <w:t>, pronunciada por el Consejo General del Colegio de Abogados en 1952. Constituyó un hito, pues algunos años después –en 1960– el Consejo General publicó un acuerdo general a partir de la doctrina de ese fallo.</w:t>
      </w:r>
    </w:p>
    <w:p w14:paraId="14EB7AD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caso fue así. El abogado Y.Y. comparecía como demandante en nombre propio para perseguir el cobro de cheques de los que se presentaba como dueño. Sin embargo, resultó probado que los cheques eran de un tercero, tenido por usurero, y por cuenta de quien el abogado denunciado actuaba.</w:t>
      </w:r>
    </w:p>
    <w:p w14:paraId="28D4362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¿Por qué se usó la litigación aparente? Porque el endoso en dominio de los cheques y demás documentos a la orden que se buscaba cobrar, hacía inoponibles al endosatario las excepciones personales que el deudor pudo haber opuesto al endosante, entre ellas la excepción de usura. En otras palabras, la conducta del litigante aparente buscaba actualizar el peligro que ella envuelve: impedir el ejercicio de las garantías procesales, es decir, neutralizar los mecanismos diseñados para asegurar la corrección de los procedimientos.</w:t>
      </w:r>
    </w:p>
    <w:p w14:paraId="702EBB9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Vale la pena reproducir el razonamiento que a este respecto desplegó el Consejo General del Colegio de Abogados:</w:t>
      </w:r>
    </w:p>
    <w:p w14:paraId="4BDFF4B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“Considerando 1°) Que el hecho imputado al abogado don Y.Y. por el denunciante señor A. es que el referido profesional aparece como dueño de los cheques que obtiene de sus víctimas don V.V., a quien sindica de usurero, y que en calidad de dueño de esos efectos se presenta ante tribunales a perseguir el cobro de los cheques y la sanción penal que en caso de no pago impone la ley al girador, todo esto a sabiendas del origen usurario de los efectos;</w:t>
      </w:r>
    </w:p>
    <w:p w14:paraId="69BAD396"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Considerando 2°) Que está probado con la confesión del señor Y. [...] que efectivamente él recibió del señor V. dos cheques girados por el señor A. [...] notificó al girador el protesto de esos efectos y persiguió la sanción penal de los delitos que del giro sin fondo resultaban hasta obtener, por una parte, el pago del cheque [...] y, por otra, el reconocimiento de la deuda del cheque [...].</w:t>
      </w:r>
    </w:p>
    <w:p w14:paraId="3F53FE8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Considerando 3° Que del mismo informe resulta establecido que si bien el abogado del señor Y., actuaba en los expedientes judiciales referidos en su propio nombre, lo hacía por cuenta del señor V., de manera que no era efectivamente dueño de los cheques que aparecía cobrando, pero que aparentaba serlo;</w:t>
      </w:r>
    </w:p>
    <w:p w14:paraId="145957F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Considerando 13°) Que [...] debe observarse que el endoso con dominio de los cheques y demás documentos a la orden hace inoponibles al endosatario las excepciones personales que el deudor pudo oponer al endosante, por lo que en la práctica se recurre a endosos fiduciarios, que aparentan una transferencia de dominio para burlar el derecho de defensa del deudor y privarle de la posibilidad de oponer al tenedor actual las excepciones derivadas del negocio causal que originó el efecto.</w:t>
      </w:r>
      <w:r w:rsidRPr="000B76A6">
        <w:rPr>
          <w:rFonts w:ascii="Verdana" w:eastAsia="Times New Roman" w:hAnsi="Verdana" w:cs="Times New Roman"/>
          <w:color w:val="000000"/>
          <w:sz w:val="20"/>
          <w:szCs w:val="20"/>
          <w:lang w:eastAsia="es-EC"/>
        </w:rPr>
        <w:t> Es decir, que quien obtuvo un cheque en pago de un préstamo usurario acude a este procedimiento para impedir que en la vía civil se oponga la excepción de usura;</w:t>
      </w:r>
    </w:p>
    <w:p w14:paraId="42916CE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Considerando 14°) Que atendidas estas circunstancias y las señaladas en los considerandos 2° y 3°, puede colegirse que el abogado señor Y. conoció el sospechoso origen de los cheques de cuya cobranza se hizo cargo y por ese motivo </w:t>
      </w:r>
      <w:r w:rsidRPr="000B76A6">
        <w:rPr>
          <w:rFonts w:ascii="Verdana" w:eastAsia="Times New Roman" w:hAnsi="Verdana" w:cs="Times New Roman"/>
          <w:i/>
          <w:iCs/>
          <w:color w:val="000000"/>
          <w:sz w:val="20"/>
          <w:szCs w:val="20"/>
          <w:lang w:eastAsia="es-EC"/>
        </w:rPr>
        <w:t>utilizó el procedimiento del endoso fiduciario para excluir la posibilidad de que en la vía civil el deudor de ellos opusiere la excepción de usura que tenía contra el acreedor</w:t>
      </w:r>
      <w:r w:rsidRPr="000B76A6">
        <w:rPr>
          <w:rFonts w:ascii="Verdana" w:eastAsia="Times New Roman" w:hAnsi="Verdana" w:cs="Times New Roman"/>
          <w:color w:val="000000"/>
          <w:sz w:val="20"/>
          <w:szCs w:val="20"/>
          <w:lang w:eastAsia="es-EC"/>
        </w:rPr>
        <w:t> ;</w:t>
      </w:r>
    </w:p>
    <w:p w14:paraId="600C04F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Considerando 15) </w:t>
      </w:r>
      <w:r w:rsidRPr="000B76A6">
        <w:rPr>
          <w:rFonts w:ascii="Verdana" w:eastAsia="Times New Roman" w:hAnsi="Verdana" w:cs="Times New Roman"/>
          <w:i/>
          <w:iCs/>
          <w:color w:val="000000"/>
          <w:sz w:val="20"/>
          <w:szCs w:val="20"/>
          <w:lang w:eastAsia="es-EC"/>
        </w:rPr>
        <w:t>Que si bien, en principio, es lícito el empleo de negocios fiduciarios, esa licitud desaparece cuando mediante el referido procedimiento se lesionan los derechos de terceros, como ocurre en el caso de aparentarse un endoso en dominio para constituir un mandato para el cobro judicial del documento endosado, por el efecto que entonces se produce sobre las excepciones personales del deudor contra su verdadero acreedor</w:t>
      </w:r>
      <w:r w:rsidRPr="000B76A6">
        <w:rPr>
          <w:rFonts w:ascii="Verdana" w:eastAsia="Times New Roman" w:hAnsi="Verdana" w:cs="Times New Roman"/>
          <w:color w:val="000000"/>
          <w:sz w:val="20"/>
          <w:szCs w:val="20"/>
          <w:lang w:eastAsia="es-EC"/>
        </w:rPr>
        <w:t> , de donde se sigue que no es recomendable que los abogados los admitan en el ejercicio de su profesión y que es derechamente censurable hacerlo cuando en el caso concurren fundadas sospechas de tener los documentos origen vicioso;</w:t>
      </w:r>
    </w:p>
    <w:p w14:paraId="4827DEF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Considerando 16) </w:t>
      </w:r>
      <w:r w:rsidRPr="000B76A6">
        <w:rPr>
          <w:rFonts w:ascii="Verdana" w:eastAsia="Times New Roman" w:hAnsi="Verdana" w:cs="Times New Roman"/>
          <w:i/>
          <w:iCs/>
          <w:color w:val="000000"/>
          <w:sz w:val="20"/>
          <w:szCs w:val="20"/>
          <w:lang w:eastAsia="es-EC"/>
        </w:rPr>
        <w:t>Que, por consiguiente, debe concluirse que el abogado señor Y. incurrió en un acto reprochable al admitir en las circunstancias que quedan relatadas, la cobranza de los cheques que recibió de su cliente mediante endosos aparentes en dominio, que ocultaban meros mandatos para su cobranza judicial</w:t>
      </w:r>
      <w:r w:rsidRPr="000B76A6">
        <w:rPr>
          <w:rFonts w:ascii="Verdana" w:eastAsia="Times New Roman" w:hAnsi="Verdana" w:cs="Times New Roman"/>
          <w:color w:val="000000"/>
          <w:sz w:val="20"/>
          <w:szCs w:val="20"/>
          <w:lang w:eastAsia="es-EC"/>
        </w:rPr>
        <w:t> , y que esa conducta es tanto más censurable si se toma en cuenta que en la especie los cheques estaban denunciados como procedentes de operaciones usurarias, por lo que el decoro y dignidad de la profesión de abogado resultan gravemente ofendidos ya que un miembro de la Orden aparece amparando con su nombre negocios de vergonzoso origen [...].</w:t>
      </w:r>
    </w:p>
    <w:p w14:paraId="3CA14BA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Por estas consideraciones y lo dispuesto en los arts. 16, 21, 22 y 23 de la Ley Orgánica del Colegio de Abogados, se acoge el reclamo deducido [...] y se impone a este la medida disciplinaria de suspensión por tres meses del ejercicio de la profesión” (énfasis agregado).</w:t>
      </w:r>
    </w:p>
    <w:p w14:paraId="12E0EA3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Como anticipamos, el sentido de esta jurisprudencia fue recogido en el </w:t>
      </w:r>
      <w:r w:rsidRPr="000B76A6">
        <w:rPr>
          <w:rFonts w:ascii="Verdana" w:eastAsia="Times New Roman" w:hAnsi="Verdana" w:cs="Times New Roman"/>
          <w:i/>
          <w:iCs/>
          <w:color w:val="000000"/>
          <w:sz w:val="20"/>
          <w:szCs w:val="20"/>
          <w:lang w:eastAsia="es-EC"/>
        </w:rPr>
        <w:t>Acuerdo general sobre uso habitual y fraudulento del endoso fiduciario de documentos en cobro</w:t>
      </w:r>
      <w:r w:rsidRPr="000B76A6">
        <w:rPr>
          <w:rFonts w:ascii="Verdana" w:eastAsia="Times New Roman" w:hAnsi="Verdana" w:cs="Times New Roman"/>
          <w:color w:val="000000"/>
          <w:sz w:val="20"/>
          <w:szCs w:val="20"/>
          <w:lang w:eastAsia="es-EC"/>
        </w:rPr>
        <w:t> </w:t>
      </w:r>
      <w:hyperlink r:id="rId14" w:anchor="fn5" w:history="1">
        <w:r w:rsidRPr="000B76A6">
          <w:rPr>
            <w:rFonts w:ascii="Verdana" w:eastAsia="Times New Roman" w:hAnsi="Verdana" w:cs="Times New Roman"/>
            <w:color w:val="0000FF"/>
            <w:sz w:val="20"/>
            <w:szCs w:val="20"/>
            <w:u w:val="single"/>
            <w:vertAlign w:val="superscript"/>
            <w:lang w:eastAsia="es-EC"/>
          </w:rPr>
          <w:t>5</w:t>
        </w:r>
      </w:hyperlink>
      <w:r w:rsidRPr="000B76A6">
        <w:rPr>
          <w:rFonts w:ascii="Verdana" w:eastAsia="Times New Roman" w:hAnsi="Verdana" w:cs="Times New Roman"/>
          <w:color w:val="000000"/>
          <w:sz w:val="20"/>
          <w:szCs w:val="20"/>
          <w:lang w:eastAsia="es-EC"/>
        </w:rPr>
        <w:t> . El acuerdo comenzaba citando el fallo ya descrito (El 6 de junio de 1952 el Consejo General del Colegio de Abogados, dictó sentencia en un caso en que se imputaba al abogado reclamado, el aparecer como dueño de un cheque ajeno y que le había sido endosado aparentando una transferencia de dominio). Luego, reprodujo la doctrina del fallo </w:t>
      </w:r>
      <w:hyperlink r:id="rId15" w:anchor="fn6" w:history="1">
        <w:r w:rsidRPr="000B76A6">
          <w:rPr>
            <w:rFonts w:ascii="Verdana" w:eastAsia="Times New Roman" w:hAnsi="Verdana" w:cs="Times New Roman"/>
            <w:color w:val="0000FF"/>
            <w:sz w:val="20"/>
            <w:szCs w:val="20"/>
            <w:u w:val="single"/>
            <w:vertAlign w:val="superscript"/>
            <w:lang w:eastAsia="es-EC"/>
          </w:rPr>
          <w:t>6</w:t>
        </w:r>
      </w:hyperlink>
      <w:r w:rsidRPr="000B76A6">
        <w:rPr>
          <w:rFonts w:ascii="Verdana" w:eastAsia="Times New Roman" w:hAnsi="Verdana" w:cs="Times New Roman"/>
          <w:color w:val="000000"/>
          <w:sz w:val="20"/>
          <w:szCs w:val="20"/>
          <w:lang w:eastAsia="es-EC"/>
        </w:rPr>
        <w:t> . Sin embargo, el acuerdo diagnosticó el hecho de que, desde el pronunciamiento del fallo, la ocurrencia de esas prácticas no se había reducido. Así lo señaló:</w:t>
      </w:r>
    </w:p>
    <w:p w14:paraId="59851212"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“No obstante el tiempo transcurrido desde aquel fallo y la publicidad que se le dio al insertarlo en la Revista de Derecho y Jurisprudencia el hábito de hacerse endosar cheques para cobrarlos aparentando un dominio que no se tiene, se ha generalizado entre los abogados, con dañinas consecuencias, porque es muy frecuente que se emplee con el propósito de burlar las excepciones personales que el deudor pudo oponer al endosante y que se sanean por el endoso, aparentemente traslaticio de dominio, pero que en realidad oculta un mandato para la cobranza.</w:t>
      </w:r>
    </w:p>
    <w:p w14:paraId="6113263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hábito señalado obedece muchas veces al mero propósito de evitarse los inconvenientes o molestias de la constitución de un mandato judicial, utilizando la vía más económica del endoso fiduciario; pero el peligro, que la experiencia ha demostrado ser real y frecuente, de que se emplee también ese procedimiento para causar daño a terceros, obliga a este Consejo General a tomar el acuerdo de señalar a los abogados la inconveniencia de que se hagan endosar en dominio las letras, cheques u otros documentos a la orden, de cuya cobranza se encargan.</w:t>
      </w:r>
    </w:p>
    <w:p w14:paraId="36ACDDA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No conviene al decoro de la profesión que el abogado aparezca, de modo frecuente como litigante, porque el oficio de abogado no es el de adquirir créditos impagos para cobrarlos por su cuenta y en su nombre, sino que consiste en prestar su patrocinio a quienes necesitan acudir ante los Tribunales en defensa de sus derechos. En consecuencia, el abogado debe permanecer en su papel propio, que es el de patrocinante, y no asumir el de litigante sino cuando las circunstancias correspondan a la realidad o cuando sea absolutamente imprescindible hacerlo</w:t>
      </w:r>
      <w:r w:rsidRPr="000B76A6">
        <w:rPr>
          <w:rFonts w:ascii="Verdana" w:eastAsia="Times New Roman" w:hAnsi="Verdana" w:cs="Times New Roman"/>
          <w:color w:val="000000"/>
          <w:sz w:val="20"/>
          <w:szCs w:val="20"/>
          <w:lang w:eastAsia="es-EC"/>
        </w:rPr>
        <w:t> .</w:t>
      </w:r>
    </w:p>
    <w:p w14:paraId="20BF02F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Si en alguna ocasión, por la imposibilidad práctica de constituir mandato ante la Secretaría del Juzgado o mediante la correspondiente escritura pública, </w:t>
      </w:r>
      <w:r w:rsidRPr="000B76A6">
        <w:rPr>
          <w:rFonts w:ascii="Verdana" w:eastAsia="Times New Roman" w:hAnsi="Verdana" w:cs="Times New Roman"/>
          <w:i/>
          <w:iCs/>
          <w:color w:val="000000"/>
          <w:sz w:val="20"/>
          <w:szCs w:val="20"/>
          <w:lang w:eastAsia="es-EC"/>
        </w:rPr>
        <w:t>el abogado recurre al método de hacerse endosar el título de dominio, debe tener presente que si el deudor opone alguna excepción saneable por el endoso, es su deber moral declarar su verdadera condición, es decir, revelar que el endoso en dominio es meramente fiduciario y, por tanto, no alegar la inoponibilidad de la excepción en razón del saneamiento que el endoso produce</w:t>
      </w:r>
      <w:r w:rsidRPr="000B76A6">
        <w:rPr>
          <w:rFonts w:ascii="Verdana" w:eastAsia="Times New Roman" w:hAnsi="Verdana" w:cs="Times New Roman"/>
          <w:color w:val="000000"/>
          <w:sz w:val="20"/>
          <w:szCs w:val="20"/>
          <w:lang w:eastAsia="es-EC"/>
        </w:rPr>
        <w:t> ” (énfasis agregado).</w:t>
      </w:r>
    </w:p>
    <w:p w14:paraId="5AE18E4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Pese al tenor de lo decidido en este acuerdo, el Consejo General siguió conociendo y sancionado esta conducta:</w:t>
      </w:r>
    </w:p>
    <w:p w14:paraId="1A1C1DC0"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“No es recomendable ni decoroso que el abogado cobre a nombre propio documentos de sus clientes haciéndolos endosar al efecto, con el fin de impedir a los deudores el ejercicio de las excepciones personales que pudieran oponer contra sus primitivos acreedores. El Consejo corrige de oficio esta falta, desechando el desistimiento que pueda formularse al respecto” </w:t>
      </w:r>
      <w:hyperlink r:id="rId16" w:anchor="fn7" w:history="1">
        <w:r w:rsidRPr="000B76A6">
          <w:rPr>
            <w:rFonts w:ascii="Verdana" w:eastAsia="Times New Roman" w:hAnsi="Verdana" w:cs="Times New Roman"/>
            <w:color w:val="0000FF"/>
            <w:sz w:val="20"/>
            <w:szCs w:val="20"/>
            <w:u w:val="single"/>
            <w:vertAlign w:val="superscript"/>
            <w:lang w:eastAsia="es-EC"/>
          </w:rPr>
          <w:t>7</w:t>
        </w:r>
      </w:hyperlink>
      <w:r w:rsidRPr="000B76A6">
        <w:rPr>
          <w:rFonts w:ascii="Verdana" w:eastAsia="Times New Roman" w:hAnsi="Verdana" w:cs="Times New Roman"/>
          <w:color w:val="000000"/>
          <w:sz w:val="20"/>
          <w:szCs w:val="20"/>
          <w:lang w:eastAsia="es-EC"/>
        </w:rPr>
        <w:t> .</w:t>
      </w:r>
    </w:p>
    <w:p w14:paraId="43AE0E1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Algunos años más tarde:</w:t>
      </w:r>
    </w:p>
    <w:p w14:paraId="075E6850"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“Falta a la ética profesional</w:t>
      </w:r>
      <w:r w:rsidRPr="000B76A6">
        <w:rPr>
          <w:rFonts w:ascii="Verdana" w:eastAsia="Times New Roman" w:hAnsi="Verdana" w:cs="Times New Roman"/>
          <w:color w:val="000000"/>
          <w:sz w:val="20"/>
          <w:szCs w:val="20"/>
          <w:lang w:eastAsia="es-EC"/>
        </w:rPr>
        <w:t> y particularmente al Acuerdo y Circular del Consejo General sobre endoso fiduciario de documentos en cobro, de 12 de septiembre de 1960, el abogado que inicia una gestión preparatoria de la vía ejecutiva y luego una demanda ordinaria por cobro de pesos </w:t>
      </w:r>
      <w:r w:rsidRPr="000B76A6">
        <w:rPr>
          <w:rFonts w:ascii="Verdana" w:eastAsia="Times New Roman" w:hAnsi="Verdana" w:cs="Times New Roman"/>
          <w:i/>
          <w:iCs/>
          <w:color w:val="000000"/>
          <w:sz w:val="20"/>
          <w:szCs w:val="20"/>
          <w:lang w:eastAsia="es-EC"/>
        </w:rPr>
        <w:t>atribuyéndose la calidad de dueño de la letra sin serlo en realidad</w:t>
      </w:r>
      <w:r w:rsidRPr="000B76A6">
        <w:rPr>
          <w:rFonts w:ascii="Verdana" w:eastAsia="Times New Roman" w:hAnsi="Verdana" w:cs="Times New Roman"/>
          <w:color w:val="000000"/>
          <w:sz w:val="20"/>
          <w:szCs w:val="20"/>
          <w:lang w:eastAsia="es-EC"/>
        </w:rPr>
        <w:t> y que en estos autos objeta formalmente la autenticidad del convenio acompañado e invocado por la demandada y sostiene no empecerle las relaciones existentes entre las partes del convenio, que emanarían de éste, dada su calidad de tercero y dueño de la letra, ya que de este modo no reconoció el abogado el carácter fiduciario del endoso y se apoyó en él </w:t>
      </w:r>
      <w:r w:rsidRPr="000B76A6">
        <w:rPr>
          <w:rFonts w:ascii="Verdana" w:eastAsia="Times New Roman" w:hAnsi="Verdana" w:cs="Times New Roman"/>
          <w:i/>
          <w:iCs/>
          <w:color w:val="000000"/>
          <w:sz w:val="20"/>
          <w:szCs w:val="20"/>
          <w:lang w:eastAsia="es-EC"/>
        </w:rPr>
        <w:t>para pedir el rechazo de las excepciones del deudor causándole perjuicios”</w:t>
      </w:r>
      <w:r w:rsidRPr="000B76A6">
        <w:rPr>
          <w:rFonts w:ascii="Verdana" w:eastAsia="Times New Roman" w:hAnsi="Verdana" w:cs="Times New Roman"/>
          <w:color w:val="000000"/>
          <w:sz w:val="20"/>
          <w:szCs w:val="20"/>
          <w:lang w:eastAsia="es-EC"/>
        </w:rPr>
        <w:t> (énfasis agregado).</w:t>
      </w:r>
    </w:p>
    <w:p w14:paraId="4BD4792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luego, al resolver el recurso de reposición interpuesto, agregó:</w:t>
      </w:r>
    </w:p>
    <w:p w14:paraId="313816C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todo caso, corresponde llamar la atención del abogado reclamado en el sentido de que en actuaciones futuras, cualquiera que sea su convicción respecto de la justicia de las causas que defienda, deberá adecuar sus actuaciones a los principios objetivos que rigen el ejercicio profesional, proporcionando a sus contrincantes las oportunidades de defensa que las leyes les confieren” </w:t>
      </w:r>
      <w:hyperlink r:id="rId17" w:anchor="fn8" w:history="1">
        <w:r w:rsidRPr="000B76A6">
          <w:rPr>
            <w:rFonts w:ascii="Verdana" w:eastAsia="Times New Roman" w:hAnsi="Verdana" w:cs="Times New Roman"/>
            <w:color w:val="0000FF"/>
            <w:sz w:val="20"/>
            <w:szCs w:val="20"/>
            <w:u w:val="single"/>
            <w:vertAlign w:val="superscript"/>
            <w:lang w:eastAsia="es-EC"/>
          </w:rPr>
          <w:t>8</w:t>
        </w:r>
      </w:hyperlink>
      <w:r w:rsidRPr="000B76A6">
        <w:rPr>
          <w:rFonts w:ascii="Verdana" w:eastAsia="Times New Roman" w:hAnsi="Verdana" w:cs="Times New Roman"/>
          <w:color w:val="000000"/>
          <w:sz w:val="20"/>
          <w:szCs w:val="20"/>
          <w:lang w:eastAsia="es-EC"/>
        </w:rPr>
        <w:t> .</w:t>
      </w:r>
    </w:p>
    <w:p w14:paraId="4FCE625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Ahora bien, es interesante apuntar que en un determinado caso el Consejo General optó por absolver al abogado que cometió la misma conducta, por la inexperiencia que tendría a la luz de su muy reciente titulación. No obstante esta particular circunstancia, este pronunciamiento fue tan enfático en su crítica a la litigación aparente como lo habían sido todos los fallos condenatorios ya citados:</w:t>
      </w:r>
    </w:p>
    <w:p w14:paraId="3B9FE7EB"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“Vulnera principios fundamentales de ética profesional y contraría instrucciones precisas del Consejo General, el abogado que inicia a su propio nombre la cobranza de diversos documentos que su cliente le ha encomendado y que alegada por los demandados la calidad de diputado para el cobro de dicho profesional, este no reconoce tal circunstancia. </w:t>
      </w:r>
      <w:r w:rsidRPr="000B76A6">
        <w:rPr>
          <w:rFonts w:ascii="Verdana" w:eastAsia="Times New Roman" w:hAnsi="Verdana" w:cs="Times New Roman"/>
          <w:i/>
          <w:iCs/>
          <w:color w:val="000000"/>
          <w:sz w:val="20"/>
          <w:szCs w:val="20"/>
          <w:lang w:eastAsia="es-EC"/>
        </w:rPr>
        <w:t>No obstante lo dicho, no procede aplicar sanción alguna al abogado que ha incurrido en tal comportamiento si éste podía ignorar las instrucciones impartidas por el Consejo y puede suponérsele poca experiencia profesional, considerando el escaso tiempo que ha transcurrido desde la obtención de su título de abogado”</w:t>
      </w:r>
      <w:r w:rsidRPr="000B76A6">
        <w:rPr>
          <w:rFonts w:ascii="Verdana" w:eastAsia="Times New Roman" w:hAnsi="Verdana" w:cs="Times New Roman"/>
          <w:color w:val="000000"/>
          <w:sz w:val="20"/>
          <w:szCs w:val="20"/>
          <w:lang w:eastAsia="es-EC"/>
        </w:rPr>
        <w:t> (énfasis agregado) </w:t>
      </w:r>
      <w:hyperlink r:id="rId18" w:anchor="fn9" w:history="1">
        <w:r w:rsidRPr="000B76A6">
          <w:rPr>
            <w:rFonts w:ascii="Verdana" w:eastAsia="Times New Roman" w:hAnsi="Verdana" w:cs="Times New Roman"/>
            <w:color w:val="0000FF"/>
            <w:sz w:val="20"/>
            <w:szCs w:val="20"/>
            <w:u w:val="single"/>
            <w:vertAlign w:val="superscript"/>
            <w:lang w:eastAsia="es-EC"/>
          </w:rPr>
          <w:t>9</w:t>
        </w:r>
      </w:hyperlink>
      <w:r w:rsidRPr="000B76A6">
        <w:rPr>
          <w:rFonts w:ascii="Verdana" w:eastAsia="Times New Roman" w:hAnsi="Verdana" w:cs="Times New Roman"/>
          <w:color w:val="000000"/>
          <w:sz w:val="20"/>
          <w:szCs w:val="20"/>
          <w:lang w:eastAsia="es-EC"/>
        </w:rPr>
        <w:t> .</w:t>
      </w:r>
    </w:p>
    <w:p w14:paraId="0090F85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otro orden de materias, la jurisprudencia también castigó la apariencia en la litigación como una infracción del deber general de honradez que el art. 3.º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imponía a los abogados:</w:t>
      </w:r>
    </w:p>
    <w:p w14:paraId="5492FC03"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“Atenta contra la esencia misma de la profesión de abogados, </w:t>
      </w:r>
      <w:r w:rsidRPr="000B76A6">
        <w:rPr>
          <w:rFonts w:ascii="Verdana" w:eastAsia="Times New Roman" w:hAnsi="Verdana" w:cs="Times New Roman"/>
          <w:i/>
          <w:iCs/>
          <w:color w:val="000000"/>
          <w:sz w:val="20"/>
          <w:szCs w:val="20"/>
          <w:lang w:eastAsia="es-EC"/>
        </w:rPr>
        <w:t>el profesional que actúa dolosamente para dar apariencia de realidad a una pretendida demanda de nulidad de matrimonio</w:t>
      </w:r>
      <w:r w:rsidRPr="000B76A6">
        <w:rPr>
          <w:rFonts w:ascii="Verdana" w:eastAsia="Times New Roman" w:hAnsi="Verdana" w:cs="Times New Roman"/>
          <w:color w:val="000000"/>
          <w:sz w:val="20"/>
          <w:szCs w:val="20"/>
          <w:lang w:eastAsia="es-EC"/>
        </w:rPr>
        <w:t> , porque [...] el abogado es un auxiliar de la administración de justicia que debe realizar el derecho y no actuar con el fin de obtener un resultado contrario a la ley. Esta falta tiene una gran trascendencia genérica, porque mediante su comisión se pretende privar al presunto demandante de un estado civil a través de la realización de una relación procesal fraudulenta, haciendo desaparecer uno de los presupuestos básicos del ordenamiento jurídico al privar a la sentencia judicial dictada en el proceso de las características de certeza y equidad de que las sentencias deben aparecer revestidas. Por su gravedad, esta falta debe ser sancionada con la máxima severidad [suspensión del ejercicio por seis meses]” (énfasis agregado) </w:t>
      </w:r>
      <w:hyperlink r:id="rId19" w:anchor="fn10" w:history="1">
        <w:r w:rsidRPr="000B76A6">
          <w:rPr>
            <w:rFonts w:ascii="Verdana" w:eastAsia="Times New Roman" w:hAnsi="Verdana" w:cs="Times New Roman"/>
            <w:color w:val="0000FF"/>
            <w:sz w:val="20"/>
            <w:szCs w:val="20"/>
            <w:u w:val="single"/>
            <w:vertAlign w:val="superscript"/>
            <w:lang w:eastAsia="es-EC"/>
          </w:rPr>
          <w:t>10</w:t>
        </w:r>
      </w:hyperlink>
      <w:r w:rsidRPr="000B76A6">
        <w:rPr>
          <w:rFonts w:ascii="Verdana" w:eastAsia="Times New Roman" w:hAnsi="Verdana" w:cs="Times New Roman"/>
          <w:color w:val="000000"/>
          <w:sz w:val="20"/>
          <w:szCs w:val="20"/>
          <w:lang w:eastAsia="es-EC"/>
        </w:rPr>
        <w:t> .</w:t>
      </w:r>
    </w:p>
    <w:p w14:paraId="25DAEEF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Consejo General del Colegio de Abogados tuvo una reacción crítica ante la apariencia, incluso en sede extrajudicial. Así, tanto la celebración de contratos simulados como la sugerencia de su celebración fueron sancionadas, aun cuando no hayan causado perjuicios a terceros </w:t>
      </w:r>
      <w:hyperlink r:id="rId20" w:anchor="fn11" w:history="1">
        <w:r w:rsidRPr="000B76A6">
          <w:rPr>
            <w:rFonts w:ascii="Verdana" w:eastAsia="Times New Roman" w:hAnsi="Verdana" w:cs="Times New Roman"/>
            <w:color w:val="0000FF"/>
            <w:sz w:val="20"/>
            <w:szCs w:val="20"/>
            <w:u w:val="single"/>
            <w:vertAlign w:val="superscript"/>
            <w:lang w:eastAsia="es-EC"/>
          </w:rPr>
          <w:t>11</w:t>
        </w:r>
      </w:hyperlink>
      <w:r w:rsidRPr="000B76A6">
        <w:rPr>
          <w:rFonts w:ascii="Verdana" w:eastAsia="Times New Roman" w:hAnsi="Verdana" w:cs="Times New Roman"/>
          <w:color w:val="000000"/>
          <w:sz w:val="20"/>
          <w:szCs w:val="20"/>
          <w:lang w:eastAsia="es-EC"/>
        </w:rPr>
        <w:t> .</w:t>
      </w:r>
    </w:p>
    <w:p w14:paraId="5B0E199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También castigó, a la luz del art. 23.º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la conducta de prestar los abogados su firma para facilitar el ejercicio de “tinterillos” o “rábulas” en el derecho, o con el mero fin de cumplir formalidades legales. A este último caso se le ha llamado “patrocinio aparente”. Así se falló sobre esto:</w:t>
      </w:r>
    </w:p>
    <w:p w14:paraId="46F7FDCF"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“Ejecuta actos desdorosos para la profesión, el abogado que aparenta ser el patrocinante de asuntos legales sin serlo en realidad y presta su firma solamente para cumplir exigencias legales </w:t>
      </w:r>
      <w:hyperlink r:id="rId21" w:anchor="fn12" w:history="1">
        <w:r w:rsidRPr="000B76A6">
          <w:rPr>
            <w:rFonts w:ascii="Verdana" w:eastAsia="Times New Roman" w:hAnsi="Verdana" w:cs="Times New Roman"/>
            <w:color w:val="0000FF"/>
            <w:sz w:val="20"/>
            <w:szCs w:val="20"/>
            <w:u w:val="single"/>
            <w:vertAlign w:val="superscript"/>
            <w:lang w:eastAsia="es-EC"/>
          </w:rPr>
          <w:t>12</w:t>
        </w:r>
      </w:hyperlink>
      <w:r w:rsidRPr="000B76A6">
        <w:rPr>
          <w:rFonts w:ascii="Verdana" w:eastAsia="Times New Roman" w:hAnsi="Verdana" w:cs="Times New Roman"/>
          <w:color w:val="000000"/>
          <w:sz w:val="20"/>
          <w:szCs w:val="20"/>
          <w:lang w:eastAsia="es-EC"/>
        </w:rPr>
        <w:t> .</w:t>
      </w:r>
    </w:p>
    <w:p w14:paraId="32D0CD2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Infringe lo dispuesto por el artículo 53 inciso 3° de la L.O. del C.A. y por artículo 23 del C. de E.P., el abogado que firma escritos sin ninguna responsabilidad respecto a su tramitación, con el solo objeto de hacer posible el ejercicio profesional por parte de un colega que no cumple con los requisitos necesarios para estar legalmente autorizado para ello” </w:t>
      </w:r>
      <w:hyperlink r:id="rId22" w:anchor="fn13" w:history="1">
        <w:r w:rsidRPr="000B76A6">
          <w:rPr>
            <w:rFonts w:ascii="Verdana" w:eastAsia="Times New Roman" w:hAnsi="Verdana" w:cs="Times New Roman"/>
            <w:color w:val="0000FF"/>
            <w:sz w:val="20"/>
            <w:szCs w:val="20"/>
            <w:u w:val="single"/>
            <w:vertAlign w:val="superscript"/>
            <w:lang w:eastAsia="es-EC"/>
          </w:rPr>
          <w:t>13</w:t>
        </w:r>
      </w:hyperlink>
      <w:r w:rsidRPr="000B76A6">
        <w:rPr>
          <w:rFonts w:ascii="Verdana" w:eastAsia="Times New Roman" w:hAnsi="Verdana" w:cs="Times New Roman"/>
          <w:color w:val="000000"/>
          <w:sz w:val="20"/>
          <w:szCs w:val="20"/>
          <w:lang w:eastAsia="es-EC"/>
        </w:rPr>
        <w:t> .</w:t>
      </w:r>
    </w:p>
    <w:p w14:paraId="0F5A708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la jurisprudencia también criticó la apariencia litigiosa, relacionándola ahora con la vulneración del deber de atender personalmente al cliente:</w:t>
      </w:r>
    </w:p>
    <w:p w14:paraId="1B9B1F4B"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calidad de patrocinio aparente y sin conocimiento del patrocinado, se ha fallado como incompatible con la ‘seriedad que requiere el ejercicio de la profesión de abogado, el hecho de prestar el consentimiento para patrocinar a una de las partes del juicio, </w:t>
      </w:r>
      <w:r w:rsidRPr="000B76A6">
        <w:rPr>
          <w:rFonts w:ascii="Verdana" w:eastAsia="Times New Roman" w:hAnsi="Verdana" w:cs="Times New Roman"/>
          <w:i/>
          <w:iCs/>
          <w:color w:val="000000"/>
          <w:sz w:val="20"/>
          <w:szCs w:val="20"/>
          <w:lang w:eastAsia="es-EC"/>
        </w:rPr>
        <w:t>sólo en apariencias</w:t>
      </w:r>
      <w:r w:rsidRPr="000B76A6">
        <w:rPr>
          <w:rFonts w:ascii="Verdana" w:eastAsia="Times New Roman" w:hAnsi="Verdana" w:cs="Times New Roman"/>
          <w:color w:val="000000"/>
          <w:sz w:val="20"/>
          <w:szCs w:val="20"/>
          <w:lang w:eastAsia="es-EC"/>
        </w:rPr>
        <w:t> y sin siquiera conocerla, actitud del todo reprensible e irregular y de la cual pueden derivar perjuicios que el abogado está en la obligación de prever y precaver’ ” (énfasis agregado) </w:t>
      </w:r>
      <w:hyperlink r:id="rId23" w:anchor="fn14" w:history="1">
        <w:r w:rsidRPr="000B76A6">
          <w:rPr>
            <w:rFonts w:ascii="Verdana" w:eastAsia="Times New Roman" w:hAnsi="Verdana" w:cs="Times New Roman"/>
            <w:color w:val="0000FF"/>
            <w:sz w:val="20"/>
            <w:szCs w:val="20"/>
            <w:u w:val="single"/>
            <w:vertAlign w:val="superscript"/>
            <w:lang w:eastAsia="es-EC"/>
          </w:rPr>
          <w:t>14</w:t>
        </w:r>
      </w:hyperlink>
      <w:r w:rsidRPr="000B76A6">
        <w:rPr>
          <w:rFonts w:ascii="Verdana" w:eastAsia="Times New Roman" w:hAnsi="Verdana" w:cs="Times New Roman"/>
          <w:color w:val="000000"/>
          <w:sz w:val="20"/>
          <w:szCs w:val="20"/>
          <w:lang w:eastAsia="es-EC"/>
        </w:rPr>
        <w:t> .</w:t>
      </w:r>
    </w:p>
    <w:p w14:paraId="290C419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Hasta aquí la regulación ético-profesional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y su jurisprudencia. En la siguiente sección revisamos reglas ético-profesionales comparadas, invocables a propósito del litigante aparente.</w:t>
      </w:r>
    </w:p>
    <w:p w14:paraId="563CD9F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2" w:name="idm292"/>
      <w:bookmarkEnd w:id="12"/>
      <w:r w:rsidRPr="000B76A6">
        <w:rPr>
          <w:rFonts w:ascii="Verdana" w:eastAsia="Times New Roman" w:hAnsi="Verdana" w:cs="Times New Roman"/>
          <w:b/>
          <w:bCs/>
          <w:color w:val="000000"/>
          <w:sz w:val="20"/>
          <w:szCs w:val="20"/>
          <w:lang w:eastAsia="es-EC"/>
        </w:rPr>
        <w:t>III. EXPERIENCIA COMPARADA</w:t>
      </w:r>
    </w:p>
    <w:p w14:paraId="778243E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 continuación, analizamos las reglas de códigos de ética vigentes en la barra de:</w:t>
      </w:r>
    </w:p>
    <w:p w14:paraId="5B73BBB9" w14:textId="77777777" w:rsidR="000B76A6" w:rsidRPr="000B76A6" w:rsidRDefault="000B76A6" w:rsidP="000B76A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3" w:name="idm295"/>
      <w:bookmarkEnd w:id="13"/>
      <w:r w:rsidRPr="000B76A6">
        <w:rPr>
          <w:rFonts w:ascii="Verdana" w:eastAsia="Times New Roman" w:hAnsi="Verdana" w:cs="Times New Roman"/>
          <w:color w:val="000000"/>
          <w:sz w:val="20"/>
          <w:szCs w:val="20"/>
          <w:lang w:eastAsia="es-EC"/>
        </w:rPr>
        <w:t>Nueva York,</w:t>
      </w:r>
    </w:p>
    <w:p w14:paraId="01F59B14" w14:textId="77777777" w:rsidR="000B76A6" w:rsidRPr="000B76A6" w:rsidRDefault="000B76A6" w:rsidP="000B76A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Canadá,</w:t>
      </w:r>
    </w:p>
    <w:p w14:paraId="464AECD6" w14:textId="77777777" w:rsidR="000B76A6" w:rsidRPr="000B76A6" w:rsidRDefault="000B76A6" w:rsidP="000B76A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España y</w:t>
      </w:r>
    </w:p>
    <w:p w14:paraId="436CABC8" w14:textId="77777777" w:rsidR="000B76A6" w:rsidRPr="000B76A6" w:rsidRDefault="000B76A6" w:rsidP="000B76A6">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Perú.</w:t>
      </w:r>
    </w:p>
    <w:p w14:paraId="3B06E09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conducta del litigante aparente pugna con todas ellas.</w:t>
      </w:r>
    </w:p>
    <w:p w14:paraId="11E1C40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4" w:name="idm305"/>
      <w:bookmarkEnd w:id="14"/>
      <w:r w:rsidRPr="000B76A6">
        <w:rPr>
          <w:rFonts w:ascii="Verdana" w:eastAsia="Times New Roman" w:hAnsi="Verdana" w:cs="Times New Roman"/>
          <w:b/>
          <w:bCs/>
          <w:color w:val="000000"/>
          <w:sz w:val="20"/>
          <w:szCs w:val="20"/>
          <w:lang w:eastAsia="es-EC"/>
        </w:rPr>
        <w:t>1. Barra de abogados de Nueva York</w:t>
      </w:r>
    </w:p>
    <w:p w14:paraId="1D2A714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Regla 3.3. Conducta ante un tribunal</w:t>
      </w:r>
    </w:p>
    <w:p w14:paraId="00495D42"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“(d) En un procedimiento ex parte, el abogado deberá informar al tribunal de todos los hechos pertinentes que conozca y que le permitan tomar una decisión informada, sean o no adversos.</w:t>
      </w:r>
    </w:p>
    <w:p w14:paraId="198B6EF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 Al presentar un asunto ante un tribunal el abogado deberá revelar la identidad de los clientes que representa y de las personas que emplearon al abogado, salvo que esté cubierta por el privilegio o sea irrelevante” </w:t>
      </w:r>
      <w:hyperlink r:id="rId24" w:anchor="fn15" w:history="1">
        <w:r w:rsidRPr="000B76A6">
          <w:rPr>
            <w:rFonts w:ascii="Verdana" w:eastAsia="Times New Roman" w:hAnsi="Verdana" w:cs="Times New Roman"/>
            <w:color w:val="0000FF"/>
            <w:sz w:val="20"/>
            <w:szCs w:val="20"/>
            <w:u w:val="single"/>
            <w:vertAlign w:val="superscript"/>
            <w:lang w:eastAsia="es-EC"/>
          </w:rPr>
          <w:t>15</w:t>
        </w:r>
      </w:hyperlink>
      <w:r w:rsidRPr="000B76A6">
        <w:rPr>
          <w:rFonts w:ascii="Verdana" w:eastAsia="Times New Roman" w:hAnsi="Verdana" w:cs="Times New Roman"/>
          <w:color w:val="000000"/>
          <w:sz w:val="20"/>
          <w:szCs w:val="20"/>
          <w:lang w:eastAsia="es-EC"/>
        </w:rPr>
        <w:t> .</w:t>
      </w:r>
    </w:p>
    <w:p w14:paraId="152DBAB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5" w:name="idm313"/>
      <w:bookmarkEnd w:id="15"/>
      <w:r w:rsidRPr="000B76A6">
        <w:rPr>
          <w:rFonts w:ascii="Verdana" w:eastAsia="Times New Roman" w:hAnsi="Verdana" w:cs="Times New Roman"/>
          <w:b/>
          <w:bCs/>
          <w:color w:val="000000"/>
          <w:sz w:val="20"/>
          <w:szCs w:val="20"/>
          <w:lang w:eastAsia="es-EC"/>
        </w:rPr>
        <w:t>2. También la regulación ético-profesional de Canadá</w:t>
      </w:r>
    </w:p>
    <w:p w14:paraId="1661391C"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“5.1-2 Cuando actúa como abogado en un litigio, un abogado no debe:</w:t>
      </w:r>
    </w:p>
    <w:p w14:paraId="2AD8B46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 abusar del proceso del tribunal entablando o instruyendo juicios que, si bien legales en sí mismos, están claramente motivados por la malicia de parte del cliente y se interponen únicamente con el propósito de perjudicar a la otra parte;</w:t>
      </w:r>
    </w:p>
    <w:p w14:paraId="568DBF8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(b) ayudar o permitir a sabiendas a un cliente para que realice algo que el abogado considere deshonesto o deshonroso; [...]</w:t>
      </w:r>
    </w:p>
    <w:p w14:paraId="16F9372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 </w:t>
      </w:r>
      <w:r w:rsidRPr="000B76A6">
        <w:rPr>
          <w:rFonts w:ascii="Verdana" w:eastAsia="Times New Roman" w:hAnsi="Verdana" w:cs="Times New Roman"/>
          <w:i/>
          <w:iCs/>
          <w:color w:val="000000"/>
          <w:sz w:val="20"/>
          <w:szCs w:val="20"/>
          <w:lang w:eastAsia="es-EC"/>
        </w:rPr>
        <w:t>intencionalmente intentar engañar a un tribunal o influir en el curso de la justicia</w:t>
      </w:r>
      <w:r w:rsidRPr="000B76A6">
        <w:rPr>
          <w:rFonts w:ascii="Verdana" w:eastAsia="Times New Roman" w:hAnsi="Verdana" w:cs="Times New Roman"/>
          <w:color w:val="000000"/>
          <w:sz w:val="20"/>
          <w:szCs w:val="20"/>
          <w:lang w:eastAsia="es-EC"/>
        </w:rPr>
        <w:t> ofreciendo evidencia falsa, afirmando hechos o derecho erróneos, presentando o confiándose de una declaración jurada falsa o engañosa, suprimiendo aquello que debe ser divulgado o colaborando de alguna otra forma en cualquier otro fraude, delito o conducta ilegal; [...].</w:t>
      </w:r>
    </w:p>
    <w:p w14:paraId="71C55A8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 </w:t>
      </w:r>
      <w:r w:rsidRPr="000B76A6">
        <w:rPr>
          <w:rFonts w:ascii="Verdana" w:eastAsia="Times New Roman" w:hAnsi="Verdana" w:cs="Times New Roman"/>
          <w:i/>
          <w:iCs/>
          <w:color w:val="000000"/>
          <w:sz w:val="20"/>
          <w:szCs w:val="20"/>
          <w:lang w:eastAsia="es-EC"/>
        </w:rPr>
        <w:t>a sabiendas tergiversar la posición del cliente en el litigio o las controversias que se determinarán en el litigio</w:t>
      </w:r>
      <w:r w:rsidRPr="000B76A6">
        <w:rPr>
          <w:rFonts w:ascii="Verdana" w:eastAsia="Times New Roman" w:hAnsi="Verdana" w:cs="Times New Roman"/>
          <w:color w:val="000000"/>
          <w:sz w:val="20"/>
          <w:szCs w:val="20"/>
          <w:lang w:eastAsia="es-EC"/>
        </w:rPr>
        <w:t> ” </w:t>
      </w:r>
      <w:hyperlink r:id="rId25" w:anchor="fn16" w:history="1">
        <w:r w:rsidRPr="000B76A6">
          <w:rPr>
            <w:rFonts w:ascii="Verdana" w:eastAsia="Times New Roman" w:hAnsi="Verdana" w:cs="Times New Roman"/>
            <w:color w:val="0000FF"/>
            <w:sz w:val="20"/>
            <w:szCs w:val="20"/>
            <w:u w:val="single"/>
            <w:vertAlign w:val="superscript"/>
            <w:lang w:eastAsia="es-EC"/>
          </w:rPr>
          <w:t>16</w:t>
        </w:r>
      </w:hyperlink>
      <w:r w:rsidRPr="000B76A6">
        <w:rPr>
          <w:rFonts w:ascii="Verdana" w:eastAsia="Times New Roman" w:hAnsi="Verdana" w:cs="Times New Roman"/>
          <w:color w:val="000000"/>
          <w:sz w:val="20"/>
          <w:szCs w:val="20"/>
          <w:lang w:eastAsia="es-EC"/>
        </w:rPr>
        <w:t> .</w:t>
      </w:r>
    </w:p>
    <w:p w14:paraId="3B2E25C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comentario a esta regla especifica lo siguiente:</w:t>
      </w:r>
    </w:p>
    <w:p w14:paraId="746C73E5"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 </w:t>
      </w:r>
      <w:r w:rsidRPr="000B76A6">
        <w:rPr>
          <w:rFonts w:ascii="Verdana" w:eastAsia="Times New Roman" w:hAnsi="Verdana" w:cs="Times New Roman"/>
          <w:i/>
          <w:iCs/>
          <w:color w:val="000000"/>
          <w:sz w:val="20"/>
          <w:szCs w:val="20"/>
          <w:lang w:eastAsia="es-EC"/>
        </w:rPr>
        <w:t>En los procedimientos civiles, un abogado tiene el deber de no engañar al tribunal sobre la posición del cliente en el proceso adversarial.</w:t>
      </w:r>
      <w:r w:rsidRPr="000B76A6">
        <w:rPr>
          <w:rFonts w:ascii="Verdana" w:eastAsia="Times New Roman" w:hAnsi="Verdana" w:cs="Times New Roman"/>
          <w:color w:val="000000"/>
          <w:sz w:val="20"/>
          <w:szCs w:val="20"/>
          <w:lang w:eastAsia="es-EC"/>
        </w:rPr>
        <w:t> Por lo tanto, un abogado que representa a una parte en un litigio que haya hecho o sea parte en un acuerdo suscrito antes o durante el juicio por el cual un demandante, no obstante la sentencia del tribunal, tiene garantizada una indemnización por una o más de las partes, deberá revelar inmediatamente la existencia y los detalles del acuerdo al tribunal y a todas las partes en el juicio” </w:t>
      </w:r>
      <w:hyperlink r:id="rId26" w:anchor="fn17" w:history="1">
        <w:r w:rsidRPr="000B76A6">
          <w:rPr>
            <w:rFonts w:ascii="Verdana" w:eastAsia="Times New Roman" w:hAnsi="Verdana" w:cs="Times New Roman"/>
            <w:color w:val="0000FF"/>
            <w:sz w:val="20"/>
            <w:szCs w:val="20"/>
            <w:u w:val="single"/>
            <w:vertAlign w:val="superscript"/>
            <w:lang w:eastAsia="es-EC"/>
          </w:rPr>
          <w:t>17</w:t>
        </w:r>
      </w:hyperlink>
      <w:r w:rsidRPr="000B76A6">
        <w:rPr>
          <w:rFonts w:ascii="Verdana" w:eastAsia="Times New Roman" w:hAnsi="Verdana" w:cs="Times New Roman"/>
          <w:color w:val="000000"/>
          <w:sz w:val="20"/>
          <w:szCs w:val="20"/>
          <w:lang w:eastAsia="es-EC"/>
        </w:rPr>
        <w:t> .</w:t>
      </w:r>
    </w:p>
    <w:p w14:paraId="7FA71D4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6" w:name="idm331"/>
      <w:bookmarkEnd w:id="16"/>
      <w:r w:rsidRPr="000B76A6">
        <w:rPr>
          <w:rFonts w:ascii="Verdana" w:eastAsia="Times New Roman" w:hAnsi="Verdana" w:cs="Times New Roman"/>
          <w:b/>
          <w:bCs/>
          <w:color w:val="000000"/>
          <w:sz w:val="20"/>
          <w:szCs w:val="20"/>
          <w:lang w:eastAsia="es-EC"/>
        </w:rPr>
        <w:t>3. Las reglas ético-profesionales en España, contenidas en su Código Deontológico</w:t>
      </w:r>
    </w:p>
    <w:p w14:paraId="491A83F5"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12.Relaciones con los clientes:</w:t>
      </w:r>
    </w:p>
    <w:p w14:paraId="1945282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A.Normas generales</w:t>
      </w:r>
    </w:p>
    <w:p w14:paraId="0D21DAA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2. </w:t>
      </w:r>
      <w:r w:rsidRPr="000B76A6">
        <w:rPr>
          <w:rFonts w:ascii="Verdana" w:eastAsia="Times New Roman" w:hAnsi="Verdana" w:cs="Times New Roman"/>
          <w:i/>
          <w:iCs/>
          <w:color w:val="000000"/>
          <w:sz w:val="20"/>
          <w:szCs w:val="20"/>
          <w:lang w:eastAsia="es-EC"/>
        </w:rPr>
        <w:t>Sólo será posible encargarse de un asunto por mandato del cliente</w:t>
      </w:r>
      <w:r w:rsidRPr="000B76A6">
        <w:rPr>
          <w:rFonts w:ascii="Verdana" w:eastAsia="Times New Roman" w:hAnsi="Verdana" w:cs="Times New Roman"/>
          <w:color w:val="000000"/>
          <w:sz w:val="20"/>
          <w:szCs w:val="20"/>
          <w:lang w:eastAsia="es-EC"/>
        </w:rPr>
        <w:t> o de un tercero debidamente facultado, encargo de un compañero o compañera que represente al cliente, o por designación colegial.</w:t>
      </w:r>
    </w:p>
    <w:p w14:paraId="66CCF50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3. Debe comprobarse la identidad y facultades de quien efectúe el encargo.</w:t>
      </w:r>
    </w:p>
    <w:p w14:paraId="5FE103A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B.Deberes de identificación e información.</w:t>
      </w:r>
    </w:p>
    <w:p w14:paraId="56551B8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1. Es obligación de quien ejerce la Abogacía identificarse ante la persona a la que asesora o defiende, incluso cuando lo hiciere por cuenta de un tercero a fin de asumir las responsabilidades civiles y deontológicas que correspondan” </w:t>
      </w:r>
      <w:hyperlink r:id="rId27" w:anchor="fn18" w:history="1">
        <w:r w:rsidRPr="000B76A6">
          <w:rPr>
            <w:rFonts w:ascii="Verdana" w:eastAsia="Times New Roman" w:hAnsi="Verdana" w:cs="Times New Roman"/>
            <w:color w:val="0000FF"/>
            <w:sz w:val="20"/>
            <w:szCs w:val="20"/>
            <w:u w:val="single"/>
            <w:vertAlign w:val="superscript"/>
            <w:lang w:eastAsia="es-EC"/>
          </w:rPr>
          <w:t>18</w:t>
        </w:r>
      </w:hyperlink>
      <w:r w:rsidRPr="000B76A6">
        <w:rPr>
          <w:rFonts w:ascii="Verdana" w:eastAsia="Times New Roman" w:hAnsi="Verdana" w:cs="Times New Roman"/>
          <w:color w:val="000000"/>
          <w:sz w:val="20"/>
          <w:szCs w:val="20"/>
          <w:lang w:eastAsia="es-EC"/>
        </w:rPr>
        <w:t> .</w:t>
      </w:r>
    </w:p>
    <w:p w14:paraId="1A0D839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Ahora el </w:t>
      </w:r>
      <w:r w:rsidRPr="000B76A6">
        <w:rPr>
          <w:rFonts w:ascii="Verdana" w:eastAsia="Times New Roman" w:hAnsi="Verdana" w:cs="Times New Roman"/>
          <w:i/>
          <w:iCs/>
          <w:color w:val="000000"/>
          <w:sz w:val="20"/>
          <w:szCs w:val="20"/>
          <w:lang w:eastAsia="es-EC"/>
        </w:rPr>
        <w:t>Estatuto General de la Abogacía Española</w:t>
      </w:r>
      <w:r w:rsidRPr="000B76A6">
        <w:rPr>
          <w:rFonts w:ascii="Verdana" w:eastAsia="Times New Roman" w:hAnsi="Verdana" w:cs="Times New Roman"/>
          <w:color w:val="000000"/>
          <w:sz w:val="20"/>
          <w:szCs w:val="20"/>
          <w:lang w:eastAsia="es-EC"/>
        </w:rPr>
        <w:t> :</w:t>
      </w:r>
    </w:p>
    <w:p w14:paraId="137E6CF6"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55.2. En su intervención ante los órganos jurisdiccionales, el profesional de la Abogacía deberá atenerse en su conducta a la buena fe, prudencia y lealtad. La forma de su intervención deberá guardar el debido respeto a dichos órganos y a los profesionales de la Abogacía defensores de las demás partes.</w:t>
      </w:r>
    </w:p>
    <w:p w14:paraId="7426CDD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48. Deberes de información e identificación.</w:t>
      </w:r>
    </w:p>
    <w:p w14:paraId="0FB2AA7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1. El profesional de la Abogacía debe facilitar al cliente su nombre, número de identificación fiscal, Colegio al que pertenece y número de colegiado, domicilio profesional y medio para ponerse en comunicación con él o con su despacho, incluyendo la vía electrónica.</w:t>
      </w:r>
    </w:p>
    <w:p w14:paraId="54423B1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Cuando se trate de una sociedad profesional o despacho colectivo, deberá informar al cliente de su denominación, forma, datos de registro, régimen jurídico, código de identificación fiscal, dirección o sede desde la que se presten los servicios y medios de contacto, incluyendo la vía electrónica.</w:t>
      </w:r>
    </w:p>
    <w:p w14:paraId="0BE2EE5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2. Cuando los servicios requeridos exijan la participación de diferentes profesionales de la Abogacía de una misma sociedad u organización, el cliente tendrá derecho a conocer la identidad de todos ellos, el Colegio al que pertenecen y, si se tratara de sociedades profesionales, si son o no socios, así como el profesional de la Abogacía que asuma la dirección del asunto.</w:t>
      </w:r>
    </w:p>
    <w:p w14:paraId="1BDDCCB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49. Información complementaria.</w:t>
      </w:r>
    </w:p>
    <w:p w14:paraId="2703EEF6" w14:textId="77777777" w:rsidR="000B76A6" w:rsidRPr="000B76A6" w:rsidRDefault="000B76A6" w:rsidP="000B76A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7" w:name="idm353"/>
      <w:bookmarkEnd w:id="17"/>
      <w:r w:rsidRPr="000B76A6">
        <w:rPr>
          <w:rFonts w:ascii="Verdana" w:eastAsia="Times New Roman" w:hAnsi="Verdana" w:cs="Times New Roman"/>
          <w:color w:val="000000"/>
          <w:sz w:val="20"/>
          <w:szCs w:val="20"/>
          <w:lang w:eastAsia="es-EC"/>
        </w:rPr>
        <w:t>Si el cliente lo solicita, el profesional de la Abogacía pondrá a su disposición la siguiente información complementaria:</w:t>
      </w:r>
    </w:p>
    <w:p w14:paraId="5CF322B7"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8" w:name="idm356"/>
      <w:bookmarkEnd w:id="18"/>
      <w:r w:rsidRPr="000B76A6">
        <w:rPr>
          <w:rFonts w:ascii="Verdana" w:eastAsia="Times New Roman" w:hAnsi="Verdana" w:cs="Times New Roman"/>
          <w:color w:val="000000"/>
          <w:sz w:val="20"/>
          <w:szCs w:val="20"/>
          <w:lang w:eastAsia="es-EC"/>
        </w:rPr>
        <w:t>Referencia a las normas de acceso a la profesión de profesional de la Abogacía en España, así como los medios necesarios para acceder a su contenido.</w:t>
      </w:r>
    </w:p>
    <w:p w14:paraId="7687AE07"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Referencia de sus actividades multidisciplinares.</w:t>
      </w:r>
    </w:p>
    <w:p w14:paraId="4E2C43CB"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Posibles conflictos de intereses y medidas adoptadas para evitar-los.</w:t>
      </w:r>
    </w:p>
    <w:p w14:paraId="1331A953"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Códigos deontológicos o de conducta a los que se encuentre sometido, así como la dirección en que dichos Códigos pueden ser consultados.</w:t>
      </w:r>
    </w:p>
    <w:p w14:paraId="7339A22D" w14:textId="77777777" w:rsidR="000B76A6" w:rsidRPr="000B76A6" w:rsidRDefault="000B76A6" w:rsidP="000B76A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citada información se pondrá a disposición del cliente en alguna de las formas siguientes:</w:t>
      </w:r>
    </w:p>
    <w:p w14:paraId="050F8E10"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9" w:name="idm367"/>
      <w:bookmarkEnd w:id="19"/>
      <w:r w:rsidRPr="000B76A6">
        <w:rPr>
          <w:rFonts w:ascii="Verdana" w:eastAsia="Times New Roman" w:hAnsi="Verdana" w:cs="Times New Roman"/>
          <w:color w:val="000000"/>
          <w:sz w:val="20"/>
          <w:szCs w:val="20"/>
          <w:lang w:eastAsia="es-EC"/>
        </w:rPr>
        <w:t>En el lugar de prestación del servicio o de celebración del contrato.</w:t>
      </w:r>
    </w:p>
    <w:p w14:paraId="40C9BD13"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Por vía electrónica.</w:t>
      </w:r>
    </w:p>
    <w:p w14:paraId="166763C3" w14:textId="77777777" w:rsidR="000B76A6" w:rsidRPr="000B76A6" w:rsidRDefault="000B76A6" w:rsidP="000B76A6">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cualquier tipo de documento informativo que se facilite al cliente presentándole los servicios de forma detallada.</w:t>
      </w:r>
    </w:p>
    <w:p w14:paraId="176AEBDC" w14:textId="77777777" w:rsidR="000B76A6" w:rsidRPr="000B76A6" w:rsidRDefault="000B76A6" w:rsidP="000B76A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información recogida en las letras b) y c) del apartado primero de este artículo deberá figurar siempre en todo documento informativo en que el profesional de la Abogacía presente detalladamente sus servicios” </w:t>
      </w:r>
      <w:hyperlink r:id="rId28" w:anchor="fn19" w:history="1">
        <w:r w:rsidRPr="000B76A6">
          <w:rPr>
            <w:rFonts w:ascii="Verdana" w:eastAsia="Times New Roman" w:hAnsi="Verdana" w:cs="Times New Roman"/>
            <w:color w:val="0000FF"/>
            <w:sz w:val="20"/>
            <w:szCs w:val="20"/>
            <w:u w:val="single"/>
            <w:vertAlign w:val="superscript"/>
            <w:lang w:eastAsia="es-EC"/>
          </w:rPr>
          <w:t>19</w:t>
        </w:r>
      </w:hyperlink>
      <w:r w:rsidRPr="000B76A6">
        <w:rPr>
          <w:rFonts w:ascii="Verdana" w:eastAsia="Times New Roman" w:hAnsi="Verdana" w:cs="Times New Roman"/>
          <w:color w:val="000000"/>
          <w:sz w:val="20"/>
          <w:szCs w:val="20"/>
          <w:lang w:eastAsia="es-EC"/>
        </w:rPr>
        <w:t> .</w:t>
      </w:r>
    </w:p>
    <w:p w14:paraId="7BE71D5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0" w:name="idm378"/>
      <w:bookmarkEnd w:id="20"/>
      <w:r w:rsidRPr="000B76A6">
        <w:rPr>
          <w:rFonts w:ascii="Verdana" w:eastAsia="Times New Roman" w:hAnsi="Verdana" w:cs="Times New Roman"/>
          <w:b/>
          <w:bCs/>
          <w:color w:val="000000"/>
          <w:sz w:val="20"/>
          <w:szCs w:val="20"/>
          <w:lang w:eastAsia="es-EC"/>
        </w:rPr>
        <w:t>4. Y, por último, Perú</w:t>
      </w:r>
    </w:p>
    <w:p w14:paraId="6C5DFC01"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64º.Inducción a error. </w:t>
      </w:r>
      <w:r w:rsidRPr="000B76A6">
        <w:rPr>
          <w:rFonts w:ascii="Verdana" w:eastAsia="Times New Roman" w:hAnsi="Verdana" w:cs="Times New Roman"/>
          <w:i/>
          <w:iCs/>
          <w:color w:val="000000"/>
          <w:sz w:val="20"/>
          <w:szCs w:val="20"/>
          <w:lang w:eastAsia="es-EC"/>
        </w:rPr>
        <w:t>En sus manifestaciones, el abogado debe exponer con claridad los hechos, el derecho aplicable al caso, y las pretensiones de su cliente. No debe declarar con falsedad. Incurre en grave responsabilidad, el abogado que induzca a error a la autoridad utilizando artificios que oculten la verdad de los hechos o expongan una falsa aplicación del derecho</w:t>
      </w:r>
      <w:r w:rsidRPr="000B76A6">
        <w:rPr>
          <w:rFonts w:ascii="Verdana" w:eastAsia="Times New Roman" w:hAnsi="Verdana" w:cs="Times New Roman"/>
          <w:color w:val="000000"/>
          <w:sz w:val="20"/>
          <w:szCs w:val="20"/>
          <w:lang w:eastAsia="es-EC"/>
        </w:rPr>
        <w:t> . El abogado no debe realizar citas doctrinarias o jurisprudenciales inexistentes o tendenciosas, es decir, exponerlas en forma tal que se aparten de la opinión o sentido brindado por el autor” (énfasis agregado) </w:t>
      </w:r>
      <w:hyperlink r:id="rId29" w:anchor="fn20" w:history="1">
        <w:r w:rsidRPr="000B76A6">
          <w:rPr>
            <w:rFonts w:ascii="Verdana" w:eastAsia="Times New Roman" w:hAnsi="Verdana" w:cs="Times New Roman"/>
            <w:color w:val="0000FF"/>
            <w:sz w:val="20"/>
            <w:szCs w:val="20"/>
            <w:u w:val="single"/>
            <w:vertAlign w:val="superscript"/>
            <w:lang w:eastAsia="es-EC"/>
          </w:rPr>
          <w:t>20</w:t>
        </w:r>
      </w:hyperlink>
      <w:r w:rsidRPr="000B76A6">
        <w:rPr>
          <w:rFonts w:ascii="Verdana" w:eastAsia="Times New Roman" w:hAnsi="Verdana" w:cs="Times New Roman"/>
          <w:color w:val="000000"/>
          <w:sz w:val="20"/>
          <w:szCs w:val="20"/>
          <w:lang w:eastAsia="es-EC"/>
        </w:rPr>
        <w:t> .</w:t>
      </w:r>
    </w:p>
    <w:p w14:paraId="6C99AB5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Hasta aquí las reglas comparadas, todas refractarias a la conducta del litigante aparente. En lo que sigue, el informe explorará la posibilidad de que el deber de confidencialidad abarque la existencia e identidad del cliente por el cual se demanda en juicio.</w:t>
      </w:r>
    </w:p>
    <w:p w14:paraId="5E5042D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1" w:name="idm386"/>
      <w:bookmarkEnd w:id="21"/>
      <w:r w:rsidRPr="000B76A6">
        <w:rPr>
          <w:rFonts w:ascii="Verdana" w:eastAsia="Times New Roman" w:hAnsi="Verdana" w:cs="Times New Roman"/>
          <w:b/>
          <w:bCs/>
          <w:color w:val="000000"/>
          <w:sz w:val="20"/>
          <w:szCs w:val="20"/>
          <w:lang w:eastAsia="es-EC"/>
        </w:rPr>
        <w:t>IV. LITIGANTE APARENTE, EL DEBER DE CONFIDENCIALIDAD Y SECRETO PROFESIONAL</w:t>
      </w:r>
    </w:p>
    <w:p w14:paraId="4820F82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este punto la pregunta es: ¿puede quedar el hecho de que se está accionando judicialmente por una tercera persona, pero diciendo que se hace a nombre propio, cubierto por el deber de confidencialidad que se impone a los abogados? ¿Se podría, en otras palabras, esgrimir ese deber para litigar juicio alegando interés propio en circunstancias de que se trata del interés de un tercero?</w:t>
      </w:r>
    </w:p>
    <w:p w14:paraId="33DD36B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pregunta es pertinente, puesto que se ha planteado en la experiencia comparada, según veremos más adelante. Además,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 hizo un esfuerzo por extender y reforzar el deber de confidencialidad en Chile </w:t>
      </w:r>
      <w:hyperlink r:id="rId30" w:anchor="fn21" w:history="1">
        <w:r w:rsidRPr="000B76A6">
          <w:rPr>
            <w:rFonts w:ascii="Verdana" w:eastAsia="Times New Roman" w:hAnsi="Verdana" w:cs="Times New Roman"/>
            <w:color w:val="0000FF"/>
            <w:sz w:val="20"/>
            <w:szCs w:val="20"/>
            <w:u w:val="single"/>
            <w:vertAlign w:val="superscript"/>
            <w:lang w:eastAsia="es-EC"/>
          </w:rPr>
          <w:t>21</w:t>
        </w:r>
      </w:hyperlink>
      <w:r w:rsidRPr="000B76A6">
        <w:rPr>
          <w:rFonts w:ascii="Verdana" w:eastAsia="Times New Roman" w:hAnsi="Verdana" w:cs="Times New Roman"/>
          <w:color w:val="000000"/>
          <w:sz w:val="20"/>
          <w:szCs w:val="20"/>
          <w:lang w:eastAsia="es-EC"/>
        </w:rPr>
        <w:t> . Este </w:t>
      </w:r>
      <w:r w:rsidRPr="000B76A6">
        <w:rPr>
          <w:rFonts w:ascii="Verdana" w:eastAsia="Times New Roman" w:hAnsi="Verdana" w:cs="Times New Roman"/>
          <w:i/>
          <w:iCs/>
          <w:color w:val="000000"/>
          <w:sz w:val="20"/>
          <w:szCs w:val="20"/>
          <w:lang w:eastAsia="es-EC"/>
        </w:rPr>
        <w:t>Código</w:t>
      </w:r>
      <w:r w:rsidRPr="000B76A6">
        <w:rPr>
          <w:rFonts w:ascii="Verdana" w:eastAsia="Times New Roman" w:hAnsi="Verdana" w:cs="Times New Roman"/>
          <w:color w:val="000000"/>
          <w:sz w:val="20"/>
          <w:szCs w:val="20"/>
          <w:lang w:eastAsia="es-EC"/>
        </w:rPr>
        <w:t> hace un esfuerzo por separar analítica y normativamente el deber de confidencialidad y el secreto profesional, este último como la necesaria contracara procesal del primero </w:t>
      </w:r>
      <w:hyperlink r:id="rId31" w:anchor="fn22" w:history="1">
        <w:r w:rsidRPr="000B76A6">
          <w:rPr>
            <w:rFonts w:ascii="Verdana" w:eastAsia="Times New Roman" w:hAnsi="Verdana" w:cs="Times New Roman"/>
            <w:color w:val="0000FF"/>
            <w:sz w:val="20"/>
            <w:szCs w:val="20"/>
            <w:u w:val="single"/>
            <w:vertAlign w:val="superscript"/>
            <w:lang w:eastAsia="es-EC"/>
          </w:rPr>
          <w:t>22</w:t>
        </w:r>
      </w:hyperlink>
      <w:r w:rsidRPr="000B76A6">
        <w:rPr>
          <w:rFonts w:ascii="Verdana" w:eastAsia="Times New Roman" w:hAnsi="Verdana" w:cs="Times New Roman"/>
          <w:color w:val="000000"/>
          <w:sz w:val="20"/>
          <w:szCs w:val="20"/>
          <w:lang w:eastAsia="es-EC"/>
        </w:rPr>
        <w:t> . Ambos se encuentran en las siguientes disposiciones:</w:t>
      </w:r>
    </w:p>
    <w:p w14:paraId="488964BF"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7º. Confidencialidad y secreto profesional. El abogado debe estricta confidencialidad a su cliente. En cumplimiento de su obligación debe exigir que se le reconozca el derecho al secreto profesional con que la ley lo ampara. La confidencialidad debida se extiende a toda la información relativa a los asuntos del cliente que el abogado ha conocido en el ejercicio de su profesión, en los términos establecidos por las reglas del Título IV de la Sección Primera de este Código.</w:t>
      </w:r>
    </w:p>
    <w:p w14:paraId="59EAD1C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46. Deberes que comprende el deber de confidencialidad. El deber de confidencialidad comprende:</w:t>
      </w:r>
    </w:p>
    <w:p w14:paraId="207F53DB" w14:textId="77777777" w:rsidR="000B76A6" w:rsidRPr="000B76A6" w:rsidRDefault="000B76A6" w:rsidP="000B76A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22" w:name="idm399"/>
      <w:bookmarkEnd w:id="22"/>
      <w:r w:rsidRPr="000B76A6">
        <w:rPr>
          <w:rFonts w:ascii="Verdana" w:eastAsia="Times New Roman" w:hAnsi="Verdana" w:cs="Times New Roman"/>
          <w:i/>
          <w:iCs/>
          <w:color w:val="000000"/>
          <w:sz w:val="20"/>
          <w:szCs w:val="20"/>
          <w:lang w:eastAsia="es-EC"/>
        </w:rPr>
        <w:t>Prohibición de revelación</w:t>
      </w:r>
      <w:r w:rsidRPr="000B76A6">
        <w:rPr>
          <w:rFonts w:ascii="Verdana" w:eastAsia="Times New Roman" w:hAnsi="Verdana" w:cs="Times New Roman"/>
          <w:color w:val="000000"/>
          <w:sz w:val="20"/>
          <w:szCs w:val="20"/>
          <w:lang w:eastAsia="es-EC"/>
        </w:rPr>
        <w:t> . El abogado debe abstenerse de revelar la información cubierta por su deber de confidencialidad, así como de entregar, exhibir o facilitar el acceso a los soportes materiales, electrónicos o de cualquier otro tipo que contengan dicha información y que se encuentran bajo su custodia.</w:t>
      </w:r>
    </w:p>
    <w:p w14:paraId="4FC0BCBE" w14:textId="77777777" w:rsidR="000B76A6" w:rsidRPr="000B76A6" w:rsidRDefault="000B76A6" w:rsidP="000B76A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Deberes de cuidado</w:t>
      </w:r>
      <w:r w:rsidRPr="000B76A6">
        <w:rPr>
          <w:rFonts w:ascii="Verdana" w:eastAsia="Times New Roman" w:hAnsi="Verdana" w:cs="Times New Roman"/>
          <w:color w:val="000000"/>
          <w:sz w:val="20"/>
          <w:szCs w:val="20"/>
          <w:lang w:eastAsia="es-EC"/>
        </w:rPr>
        <w:t> . El abogado debe adoptar medidas razonables para que las condiciones en las que recibe, obtiene, mantiene o revela información sujeta a deber de confidencialidad sean tales que cautelen el carácter confidencial de esa información; y</w:t>
      </w:r>
    </w:p>
    <w:p w14:paraId="3015AA1A" w14:textId="77777777" w:rsidR="000B76A6" w:rsidRPr="000B76A6" w:rsidRDefault="000B76A6" w:rsidP="000B76A6">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Deber de cuidado respecto de acciones de colaboradores</w:t>
      </w:r>
      <w:r w:rsidRPr="000B76A6">
        <w:rPr>
          <w:rFonts w:ascii="Verdana" w:eastAsia="Times New Roman" w:hAnsi="Verdana" w:cs="Times New Roman"/>
          <w:color w:val="000000"/>
          <w:sz w:val="20"/>
          <w:szCs w:val="20"/>
          <w:lang w:eastAsia="es-EC"/>
        </w:rPr>
        <w:t> . El abogado debe adoptar medidas razonables para que la confidencialidad debida al cliente sea mantenida por quienes colaboran con él” (énfasis en el original).</w:t>
      </w:r>
    </w:p>
    <w:p w14:paraId="4A2B828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secreto profesional, a su turno, está regulado por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así:</w:t>
      </w:r>
    </w:p>
    <w:p w14:paraId="023C7CF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60. Deber de cautelar el secreto profesional. Si un abogado es requerido por la ley o la autoridad competente para informar o declarar sobre una materia sujeta a confidencialidad, el abogado debe procurar que le sea reconocido el derecho al secreto profesional. En observancia de este deber, el abogado actuará de conformidad con las siguientes reglas:</w:t>
      </w:r>
    </w:p>
    <w:p w14:paraId="6593FC54" w14:textId="77777777" w:rsidR="000B76A6" w:rsidRPr="000B76A6" w:rsidRDefault="000B76A6" w:rsidP="000B76A6">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23" w:name="idm412"/>
      <w:bookmarkEnd w:id="23"/>
      <w:r w:rsidRPr="000B76A6">
        <w:rPr>
          <w:rFonts w:ascii="Verdana" w:eastAsia="Times New Roman" w:hAnsi="Verdana" w:cs="Times New Roman"/>
          <w:color w:val="000000"/>
          <w:sz w:val="20"/>
          <w:szCs w:val="20"/>
          <w:lang w:eastAsia="es-EC"/>
        </w:rPr>
        <w:t>Interpretación de la ley favorable a la confidencialidad. El abogado debe interpretar las disposiciones constitucionales y legales que lo eximen del deber de informar o declarar del modo que mejor garantice el cumplimiento de su deber de confidencialidad.</w:t>
      </w:r>
    </w:p>
    <w:p w14:paraId="79441D79" w14:textId="77777777" w:rsidR="000B76A6" w:rsidRPr="000B76A6" w:rsidRDefault="000B76A6" w:rsidP="000B76A6">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Prerrogativa de calificación. El abogado debe limitarse a expresar que los hechos están amparados por el secreto profesional y abstenerse de fundamentar esa calificación si esa justificación pudiere comprometer ese secreto.</w:t>
      </w:r>
    </w:p>
    <w:p w14:paraId="452B9E92" w14:textId="77777777" w:rsidR="000B76A6" w:rsidRPr="000B76A6" w:rsidRDefault="000B76A6" w:rsidP="000B76A6">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Deber de impugnar. En general, el abogado debe realizar las actuaciones razonables dirigidas a impugnar las decisiones de la autoridad que le ordenan declarar sobre materias que son objeto de secreto profesional”.</w:t>
      </w:r>
    </w:p>
    <w:p w14:paraId="356F2B5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¿Está comprendida la identidad del cliente demandante en este importante deber fiduciario? La jurisprudencia desarrollada bajo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según vimos, nunca lo consideró así, a pesar de haber tenido también ese </w:t>
      </w:r>
      <w:r w:rsidRPr="000B76A6">
        <w:rPr>
          <w:rFonts w:ascii="Verdana" w:eastAsia="Times New Roman" w:hAnsi="Verdana" w:cs="Times New Roman"/>
          <w:i/>
          <w:iCs/>
          <w:color w:val="000000"/>
          <w:sz w:val="20"/>
          <w:szCs w:val="20"/>
          <w:lang w:eastAsia="es-EC"/>
        </w:rPr>
        <w:t>Código</w:t>
      </w:r>
      <w:r w:rsidRPr="000B76A6">
        <w:rPr>
          <w:rFonts w:ascii="Verdana" w:eastAsia="Times New Roman" w:hAnsi="Verdana" w:cs="Times New Roman"/>
          <w:color w:val="000000"/>
          <w:sz w:val="20"/>
          <w:szCs w:val="20"/>
          <w:lang w:eastAsia="es-EC"/>
        </w:rPr>
        <w:t> una consideración muy importante por el secreto profesional. Una </w:t>
      </w:r>
      <w:hyperlink r:id="rId32" w:anchor="B30" w:history="1">
        <w:r w:rsidRPr="000B76A6">
          <w:rPr>
            <w:rFonts w:ascii="Verdana" w:eastAsia="Times New Roman" w:hAnsi="Verdana" w:cs="Times New Roman"/>
            <w:color w:val="0000FF"/>
            <w:sz w:val="20"/>
            <w:szCs w:val="20"/>
            <w:u w:val="single"/>
            <w:vertAlign w:val="superscript"/>
            <w:lang w:eastAsia="es-EC"/>
          </w:rPr>
          <w:t>sentencia de 2019</w:t>
        </w:r>
      </w:hyperlink>
      <w:r w:rsidRPr="000B76A6">
        <w:rPr>
          <w:rFonts w:ascii="Verdana" w:eastAsia="Times New Roman" w:hAnsi="Verdana" w:cs="Times New Roman"/>
          <w:color w:val="000000"/>
          <w:sz w:val="20"/>
          <w:szCs w:val="20"/>
          <w:lang w:eastAsia="es-EC"/>
        </w:rPr>
        <w:t> del Tribunal de Ética del Colegio de Abogados de Chile A.G. sigue esta misma línea jurisprudencial, ahora de acuerdo con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 La experiencia comparada, por su parte, también da luces para contestar la pregunta, en especial la de Estados Unidos, que ahora revisamos. Después de esta revisión, volvemos a la regulación chilena del secreto profesional, en especial la legislativa.</w:t>
      </w:r>
    </w:p>
    <w:p w14:paraId="04DF974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4" w:name="idm424"/>
      <w:bookmarkEnd w:id="24"/>
      <w:r w:rsidRPr="000B76A6">
        <w:rPr>
          <w:rFonts w:ascii="Verdana" w:eastAsia="Times New Roman" w:hAnsi="Verdana" w:cs="Times New Roman"/>
          <w:b/>
          <w:bCs/>
          <w:color w:val="000000"/>
          <w:sz w:val="20"/>
          <w:szCs w:val="20"/>
          <w:lang w:eastAsia="es-EC"/>
        </w:rPr>
        <w:t>1. Client-attorney privilege en general</w:t>
      </w:r>
    </w:p>
    <w:p w14:paraId="10BC633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Estados Unidos, y en el mundo anglosajón en general, la confidencialidad profesional se trata como “privilegio cliente-abogado” ( </w:t>
      </w:r>
      <w:r w:rsidRPr="000B76A6">
        <w:rPr>
          <w:rFonts w:ascii="Verdana" w:eastAsia="Times New Roman" w:hAnsi="Verdana" w:cs="Times New Roman"/>
          <w:i/>
          <w:iCs/>
          <w:color w:val="000000"/>
          <w:sz w:val="20"/>
          <w:szCs w:val="20"/>
          <w:lang w:eastAsia="es-EC"/>
        </w:rPr>
        <w:t>client-attorney privilege</w:t>
      </w:r>
      <w:r w:rsidRPr="000B76A6">
        <w:rPr>
          <w:rFonts w:ascii="Verdana" w:eastAsia="Times New Roman" w:hAnsi="Verdana" w:cs="Times New Roman"/>
          <w:color w:val="000000"/>
          <w:sz w:val="20"/>
          <w:szCs w:val="20"/>
          <w:lang w:eastAsia="es-EC"/>
        </w:rPr>
        <w:t> ). Se trata de una regla de exención de prueba, una excepción al deber general de declarar como testigo o de exhibir determinada información que toda persona debe cumplir en caso de ser citada a declarar o exhibir, por orden legal o de una autoridad, por lo común de orden judicial </w:t>
      </w:r>
      <w:hyperlink r:id="rId33" w:anchor="fn23" w:history="1">
        <w:r w:rsidRPr="000B76A6">
          <w:rPr>
            <w:rFonts w:ascii="Verdana" w:eastAsia="Times New Roman" w:hAnsi="Verdana" w:cs="Times New Roman"/>
            <w:color w:val="0000FF"/>
            <w:sz w:val="20"/>
            <w:szCs w:val="20"/>
            <w:u w:val="single"/>
            <w:vertAlign w:val="superscript"/>
            <w:lang w:eastAsia="es-EC"/>
          </w:rPr>
          <w:t>23</w:t>
        </w:r>
      </w:hyperlink>
      <w:r w:rsidRPr="000B76A6">
        <w:rPr>
          <w:rFonts w:ascii="Verdana" w:eastAsia="Times New Roman" w:hAnsi="Verdana" w:cs="Times New Roman"/>
          <w:color w:val="000000"/>
          <w:sz w:val="20"/>
          <w:szCs w:val="20"/>
          <w:lang w:eastAsia="es-EC"/>
        </w:rPr>
        <w:t> . Este privilegio o exención de declarar o exhibir tiene por objetivo proteger las comunicaciones entre cliente y abogado. </w:t>
      </w:r>
      <w:hyperlink r:id="rId34" w:anchor="fn24" w:history="1">
        <w:r w:rsidRPr="000B76A6">
          <w:rPr>
            <w:rFonts w:ascii="Verdana" w:eastAsia="Times New Roman" w:hAnsi="Verdana" w:cs="Times New Roman"/>
            <w:color w:val="0000FF"/>
            <w:sz w:val="20"/>
            <w:szCs w:val="20"/>
            <w:u w:val="single"/>
            <w:vertAlign w:val="superscript"/>
            <w:lang w:eastAsia="es-EC"/>
          </w:rPr>
          <w:t>24</w:t>
        </w:r>
      </w:hyperlink>
    </w:p>
    <w:p w14:paraId="2637846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Respecto a si el privilegio cubriría la identidad del cliente, la respuesta comúnmente asentada en la doctrina es negativa </w:t>
      </w:r>
      <w:hyperlink r:id="rId35" w:anchor="fn25" w:history="1">
        <w:r w:rsidRPr="000B76A6">
          <w:rPr>
            <w:rFonts w:ascii="Verdana" w:eastAsia="Times New Roman" w:hAnsi="Verdana" w:cs="Times New Roman"/>
            <w:color w:val="0000FF"/>
            <w:sz w:val="20"/>
            <w:szCs w:val="20"/>
            <w:u w:val="single"/>
            <w:vertAlign w:val="superscript"/>
            <w:lang w:eastAsia="es-EC"/>
          </w:rPr>
          <w:t>25</w:t>
        </w:r>
      </w:hyperlink>
      <w:r w:rsidRPr="000B76A6">
        <w:rPr>
          <w:rFonts w:ascii="Verdana" w:eastAsia="Times New Roman" w:hAnsi="Verdana" w:cs="Times New Roman"/>
          <w:color w:val="000000"/>
          <w:sz w:val="20"/>
          <w:szCs w:val="20"/>
          <w:lang w:eastAsia="es-EC"/>
        </w:rPr>
        <w:t> . Es por regla general negativa en las relaciones cliente-abogado y, en particular y de manera más categórica, en sede judicial, cuando el cliente es actor.</w:t>
      </w:r>
    </w:p>
    <w:p w14:paraId="3ADE750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razón es que con el privilegio se busca proteger un intercambio desinhibido de información entre cliente y abogado, y no se ve cómo la comparecencia real del cliente en juicio pudiese amenazar esa desinhibición </w:t>
      </w:r>
      <w:hyperlink r:id="rId36" w:anchor="fn26" w:history="1">
        <w:r w:rsidRPr="000B76A6">
          <w:rPr>
            <w:rFonts w:ascii="Verdana" w:eastAsia="Times New Roman" w:hAnsi="Verdana" w:cs="Times New Roman"/>
            <w:color w:val="0000FF"/>
            <w:sz w:val="20"/>
            <w:szCs w:val="20"/>
            <w:u w:val="single"/>
            <w:vertAlign w:val="superscript"/>
            <w:lang w:eastAsia="es-EC"/>
          </w:rPr>
          <w:t>26</w:t>
        </w:r>
      </w:hyperlink>
      <w:r w:rsidRPr="000B76A6">
        <w:rPr>
          <w:rFonts w:ascii="Verdana" w:eastAsia="Times New Roman" w:hAnsi="Verdana" w:cs="Times New Roman"/>
          <w:color w:val="000000"/>
          <w:sz w:val="20"/>
          <w:szCs w:val="20"/>
          <w:lang w:eastAsia="es-EC"/>
        </w:rPr>
        <w:t> . A la razón anterior se suma la actitud de escepticismo hacia el privilegio por parte de las Cortes, las cuales suelen interpretarlo de manera estricta por el efecto que le imputan en la supresión de la verdad judicial </w:t>
      </w:r>
      <w:hyperlink r:id="rId37" w:anchor="fn27" w:history="1">
        <w:r w:rsidRPr="000B76A6">
          <w:rPr>
            <w:rFonts w:ascii="Verdana" w:eastAsia="Times New Roman" w:hAnsi="Verdana" w:cs="Times New Roman"/>
            <w:color w:val="0000FF"/>
            <w:sz w:val="20"/>
            <w:szCs w:val="20"/>
            <w:u w:val="single"/>
            <w:vertAlign w:val="superscript"/>
            <w:lang w:eastAsia="es-EC"/>
          </w:rPr>
          <w:t>27</w:t>
        </w:r>
      </w:hyperlink>
      <w:r w:rsidRPr="000B76A6">
        <w:rPr>
          <w:rFonts w:ascii="Verdana" w:eastAsia="Times New Roman" w:hAnsi="Verdana" w:cs="Times New Roman"/>
          <w:color w:val="000000"/>
          <w:sz w:val="20"/>
          <w:szCs w:val="20"/>
          <w:lang w:eastAsia="es-EC"/>
        </w:rPr>
        <w:t> . Conforme a estas dos posiciones, el test más tradicional utilizado por las Cortes para determinar si debe haber revelación o no, consiste en un balance entre los intereses de la Corte en la administración de justicia, por una parte, y la libertad de comunicaciones entre un cliente y su abogado, por la otra </w:t>
      </w:r>
      <w:hyperlink r:id="rId38" w:anchor="fn28" w:history="1">
        <w:r w:rsidRPr="000B76A6">
          <w:rPr>
            <w:rFonts w:ascii="Verdana" w:eastAsia="Times New Roman" w:hAnsi="Verdana" w:cs="Times New Roman"/>
            <w:color w:val="0000FF"/>
            <w:sz w:val="20"/>
            <w:szCs w:val="20"/>
            <w:u w:val="single"/>
            <w:vertAlign w:val="superscript"/>
            <w:lang w:eastAsia="es-EC"/>
          </w:rPr>
          <w:t>28</w:t>
        </w:r>
      </w:hyperlink>
      <w:r w:rsidRPr="000B76A6">
        <w:rPr>
          <w:rFonts w:ascii="Verdana" w:eastAsia="Times New Roman" w:hAnsi="Verdana" w:cs="Times New Roman"/>
          <w:color w:val="000000"/>
          <w:sz w:val="20"/>
          <w:szCs w:val="20"/>
          <w:lang w:eastAsia="es-EC"/>
        </w:rPr>
        <w:t> .</w:t>
      </w:r>
    </w:p>
    <w:p w14:paraId="033D383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Esta regla general, de no amparar la identidad del cliente, ha sido materia de ciertas excepciones en la evolución del derecho probatorio estadounidense. En el caso </w:t>
      </w:r>
      <w:hyperlink r:id="rId39" w:anchor="B23" w:history="1">
        <w:r w:rsidRPr="000B76A6">
          <w:rPr>
            <w:rFonts w:ascii="Verdana" w:eastAsia="Times New Roman" w:hAnsi="Verdana" w:cs="Times New Roman"/>
            <w:color w:val="0000FF"/>
            <w:sz w:val="20"/>
            <w:szCs w:val="20"/>
            <w:u w:val="single"/>
            <w:vertAlign w:val="superscript"/>
            <w:lang w:eastAsia="es-EC"/>
          </w:rPr>
          <w:t>B. v. K. (1960)</w:t>
        </w:r>
      </w:hyperlink>
      <w:r w:rsidRPr="000B76A6">
        <w:rPr>
          <w:rFonts w:ascii="Verdana" w:eastAsia="Times New Roman" w:hAnsi="Verdana" w:cs="Times New Roman"/>
          <w:color w:val="000000"/>
          <w:sz w:val="20"/>
          <w:szCs w:val="20"/>
          <w:lang w:eastAsia="es-EC"/>
        </w:rPr>
        <w:t> se permitió excluir la identidad del cliente que había evadido impuestos y que encarga a un abogado que pague la suma adeudada a la autoridad bajo reserva de identidad </w:t>
      </w:r>
      <w:hyperlink r:id="rId40" w:anchor="fn29" w:history="1">
        <w:r w:rsidRPr="000B76A6">
          <w:rPr>
            <w:rFonts w:ascii="Verdana" w:eastAsia="Times New Roman" w:hAnsi="Verdana" w:cs="Times New Roman"/>
            <w:color w:val="0000FF"/>
            <w:sz w:val="20"/>
            <w:szCs w:val="20"/>
            <w:u w:val="single"/>
            <w:vertAlign w:val="superscript"/>
            <w:lang w:eastAsia="es-EC"/>
          </w:rPr>
          <w:t>29</w:t>
        </w:r>
      </w:hyperlink>
      <w:r w:rsidRPr="000B76A6">
        <w:rPr>
          <w:rFonts w:ascii="Verdana" w:eastAsia="Times New Roman" w:hAnsi="Verdana" w:cs="Times New Roman"/>
          <w:color w:val="000000"/>
          <w:sz w:val="20"/>
          <w:szCs w:val="20"/>
          <w:lang w:eastAsia="es-EC"/>
        </w:rPr>
        <w:t> . El abogado giró un cheque para estos efectos sin revelar la identidad de su cliente, con la intención de dejarlo en una mejor posición ante una eventual formalización por delitos tributarios. La Corte concluyó que el privilegio, en este caso, cubría la identidad del cliente por cuanto la relevación de su nombre a la autoridad fiscal constituiría una admisión indirecta de la culpabilidad del cliente, es decir, comunicaría una conducta incriminatoria del cliente.</w:t>
      </w:r>
    </w:p>
    <w:p w14:paraId="5EA223D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w:t>
      </w:r>
      <w:hyperlink r:id="rId41" w:anchor="B27" w:history="1">
        <w:r w:rsidRPr="000B76A6">
          <w:rPr>
            <w:rFonts w:ascii="Verdana" w:eastAsia="Times New Roman" w:hAnsi="Verdana" w:cs="Times New Roman"/>
            <w:color w:val="0000FF"/>
            <w:sz w:val="20"/>
            <w:szCs w:val="20"/>
            <w:u w:val="single"/>
            <w:vertAlign w:val="superscript"/>
            <w:lang w:eastAsia="es-EC"/>
          </w:rPr>
          <w:t>In re Kaplan (1960)</w:t>
        </w:r>
      </w:hyperlink>
      <w:r w:rsidRPr="000B76A6">
        <w:rPr>
          <w:rFonts w:ascii="Verdana" w:eastAsia="Times New Roman" w:hAnsi="Verdana" w:cs="Times New Roman"/>
          <w:color w:val="000000"/>
          <w:sz w:val="20"/>
          <w:szCs w:val="20"/>
          <w:lang w:eastAsia="es-EC"/>
        </w:rPr>
        <w:t> la jurisprudencia sentó las bases para amparar bajo el privilegio a la identidad de un cliente que entrega información a un comité investigador por medio de su abogado, bajo anonimato o reserva de identidad, con el fin de evitar represalias por colaborar con la investigación. En este caso la Corte concluyó: “la comunicación del cliente ya había sido divulgada [...] y era el nombre del cliente el que merecía y necesitaba protección por miedo a represalias” </w:t>
      </w:r>
      <w:hyperlink r:id="rId42" w:anchor="fn30" w:history="1">
        <w:r w:rsidRPr="000B76A6">
          <w:rPr>
            <w:rFonts w:ascii="Verdana" w:eastAsia="Times New Roman" w:hAnsi="Verdana" w:cs="Times New Roman"/>
            <w:color w:val="0000FF"/>
            <w:sz w:val="20"/>
            <w:szCs w:val="20"/>
            <w:u w:val="single"/>
            <w:vertAlign w:val="superscript"/>
            <w:lang w:eastAsia="es-EC"/>
          </w:rPr>
          <w:t>30</w:t>
        </w:r>
      </w:hyperlink>
      <w:r w:rsidRPr="000B76A6">
        <w:rPr>
          <w:rFonts w:ascii="Verdana" w:eastAsia="Times New Roman" w:hAnsi="Verdana" w:cs="Times New Roman"/>
          <w:color w:val="000000"/>
          <w:sz w:val="20"/>
          <w:szCs w:val="20"/>
          <w:lang w:eastAsia="es-EC"/>
        </w:rPr>
        <w:t> .</w:t>
      </w:r>
    </w:p>
    <w:p w14:paraId="0D45E01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 partir de estos y otros casos, se han desarrollado dos test distintos para evaluar si la identidad del cliente debe ser protegida por el privilegio y, por tanto, no revelada al tribunal: el del “último eslabón de la cadena” y el de “comunicaciones confidenciales” </w:t>
      </w:r>
      <w:hyperlink r:id="rId43" w:anchor="fn31" w:history="1">
        <w:r w:rsidRPr="000B76A6">
          <w:rPr>
            <w:rFonts w:ascii="Verdana" w:eastAsia="Times New Roman" w:hAnsi="Verdana" w:cs="Times New Roman"/>
            <w:color w:val="0000FF"/>
            <w:sz w:val="20"/>
            <w:szCs w:val="20"/>
            <w:u w:val="single"/>
            <w:vertAlign w:val="superscript"/>
            <w:lang w:eastAsia="es-EC"/>
          </w:rPr>
          <w:t>31</w:t>
        </w:r>
      </w:hyperlink>
      <w:r w:rsidRPr="000B76A6">
        <w:rPr>
          <w:rFonts w:ascii="Verdana" w:eastAsia="Times New Roman" w:hAnsi="Verdana" w:cs="Times New Roman"/>
          <w:color w:val="000000"/>
          <w:sz w:val="20"/>
          <w:szCs w:val="20"/>
          <w:lang w:eastAsia="es-EC"/>
        </w:rPr>
        <w:t> .</w:t>
      </w:r>
    </w:p>
    <w:p w14:paraId="4CB30CA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test denominado “el último eslabón de la cadena” se aplica a situaciones en las cuales un abogado, que revela la identidad de su cliente, estaría entregando el último eslabón en una cadena existente de evidencia incriminadora lo que, probablemente, conducirá a la formalización del cliente </w:t>
      </w:r>
      <w:hyperlink r:id="rId44" w:anchor="fn32" w:history="1">
        <w:r w:rsidRPr="000B76A6">
          <w:rPr>
            <w:rFonts w:ascii="Verdana" w:eastAsia="Times New Roman" w:hAnsi="Verdana" w:cs="Times New Roman"/>
            <w:color w:val="0000FF"/>
            <w:sz w:val="20"/>
            <w:szCs w:val="20"/>
            <w:u w:val="single"/>
            <w:vertAlign w:val="superscript"/>
            <w:lang w:eastAsia="es-EC"/>
          </w:rPr>
          <w:t>32</w:t>
        </w:r>
      </w:hyperlink>
      <w:r w:rsidRPr="000B76A6">
        <w:rPr>
          <w:rFonts w:ascii="Verdana" w:eastAsia="Times New Roman" w:hAnsi="Verdana" w:cs="Times New Roman"/>
          <w:color w:val="000000"/>
          <w:sz w:val="20"/>
          <w:szCs w:val="20"/>
          <w:lang w:eastAsia="es-EC"/>
        </w:rPr>
        <w:t> . Por su parte, el test de las “comunicaciones confidenciales” se aplica cuando la revelación de la identidad del cliente o de los acuerdos sobre honorarios, conllevarían la revelación de otras comunicaciones privilegiadas </w:t>
      </w:r>
      <w:hyperlink r:id="rId45" w:anchor="fn33" w:history="1">
        <w:r w:rsidRPr="000B76A6">
          <w:rPr>
            <w:rFonts w:ascii="Verdana" w:eastAsia="Times New Roman" w:hAnsi="Verdana" w:cs="Times New Roman"/>
            <w:color w:val="0000FF"/>
            <w:sz w:val="20"/>
            <w:szCs w:val="20"/>
            <w:u w:val="single"/>
            <w:vertAlign w:val="superscript"/>
            <w:lang w:eastAsia="es-EC"/>
          </w:rPr>
          <w:t>33</w:t>
        </w:r>
      </w:hyperlink>
      <w:r w:rsidRPr="000B76A6">
        <w:rPr>
          <w:rFonts w:ascii="Verdana" w:eastAsia="Times New Roman" w:hAnsi="Verdana" w:cs="Times New Roman"/>
          <w:color w:val="000000"/>
          <w:sz w:val="20"/>
          <w:szCs w:val="20"/>
          <w:lang w:eastAsia="es-EC"/>
        </w:rPr>
        <w:t> . Un tercer estándar ha sido desarrollado por la Corte de Apelaciones del estado de Illinois, denominado “perjuicio en cierto sentido sustantivo”, el cual se permite mantener la identidad del cliente privilegiada porque si esta fuese revelada por el abogado, el cliente sería conectado con la comisión de un crimen y así se vería perjudicado en una “cierta medida sustantiva” </w:t>
      </w:r>
      <w:hyperlink r:id="rId46" w:anchor="fn34" w:history="1">
        <w:r w:rsidRPr="000B76A6">
          <w:rPr>
            <w:rFonts w:ascii="Verdana" w:eastAsia="Times New Roman" w:hAnsi="Verdana" w:cs="Times New Roman"/>
            <w:color w:val="0000FF"/>
            <w:sz w:val="20"/>
            <w:szCs w:val="20"/>
            <w:u w:val="single"/>
            <w:vertAlign w:val="superscript"/>
            <w:lang w:eastAsia="es-EC"/>
          </w:rPr>
          <w:t>34</w:t>
        </w:r>
      </w:hyperlink>
      <w:r w:rsidRPr="000B76A6">
        <w:rPr>
          <w:rFonts w:ascii="Verdana" w:eastAsia="Times New Roman" w:hAnsi="Verdana" w:cs="Times New Roman"/>
          <w:color w:val="000000"/>
          <w:sz w:val="20"/>
          <w:szCs w:val="20"/>
          <w:lang w:eastAsia="es-EC"/>
        </w:rPr>
        <w:t> .</w:t>
      </w:r>
    </w:p>
    <w:p w14:paraId="0BF8456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jurisprudencia no ha estado exenta de críticas. Entre ellas, se encuentra el hecho de que ninguno de ellos pareciera desarrollar el elemento teleológico que justificaría la institución del privilegio, que es fomentar una comunicación desinhibida entre cliente y abogado lo cual, a su vez, permitiría un ejercicio profesional efectivo y competente. Los test, en cambio, parecen estar conectados con el derecho a la no autoincriminación del cliente, del cual se vería privado si el abogado tuviese que revelar su identidad </w:t>
      </w:r>
      <w:hyperlink r:id="rId47" w:anchor="fn35" w:history="1">
        <w:r w:rsidRPr="000B76A6">
          <w:rPr>
            <w:rFonts w:ascii="Verdana" w:eastAsia="Times New Roman" w:hAnsi="Verdana" w:cs="Times New Roman"/>
            <w:color w:val="0000FF"/>
            <w:sz w:val="20"/>
            <w:szCs w:val="20"/>
            <w:u w:val="single"/>
            <w:vertAlign w:val="superscript"/>
            <w:lang w:eastAsia="es-EC"/>
          </w:rPr>
          <w:t>35</w:t>
        </w:r>
      </w:hyperlink>
      <w:r w:rsidRPr="000B76A6">
        <w:rPr>
          <w:rFonts w:ascii="Verdana" w:eastAsia="Times New Roman" w:hAnsi="Verdana" w:cs="Times New Roman"/>
          <w:color w:val="000000"/>
          <w:sz w:val="20"/>
          <w:szCs w:val="20"/>
          <w:lang w:eastAsia="es-EC"/>
        </w:rPr>
        <w:t> .</w:t>
      </w:r>
    </w:p>
    <w:p w14:paraId="4E8B036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suma, existiría consenso respecto de que la identidad del cliente no cabe ser amparada por el privilegio cliente-abogado, a menos que, por razones contextuales, dicha identidad pudiese ser considerada una forma de comunicación. Esto, sin embargo, a condición de que el cliente no sea un actor judicial. En este caso, hay un consenso aún mayor sobre la no extensión del privilegio a la identidad del cliente que acciona judicialmente.</w:t>
      </w:r>
    </w:p>
    <w:p w14:paraId="460EDD8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5" w:name="idm464"/>
      <w:bookmarkEnd w:id="25"/>
      <w:r w:rsidRPr="000B76A6">
        <w:rPr>
          <w:rFonts w:ascii="Verdana" w:eastAsia="Times New Roman" w:hAnsi="Verdana" w:cs="Times New Roman"/>
          <w:b/>
          <w:bCs/>
          <w:color w:val="000000"/>
          <w:sz w:val="20"/>
          <w:szCs w:val="20"/>
          <w:lang w:eastAsia="es-EC"/>
        </w:rPr>
        <w:t>2. Client-attorney privilege y el cliente que acciona judicialmente</w:t>
      </w:r>
    </w:p>
    <w:p w14:paraId="4355BD6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este caso la identidad del cliente no queda amparada por el privilegio, ya que hay razones derivadas del derecho de defensa de las partes y razones derivadas del correcto desempeño de la función jurisdiccional </w:t>
      </w:r>
      <w:hyperlink r:id="rId48" w:anchor="fn36" w:history="1">
        <w:r w:rsidRPr="000B76A6">
          <w:rPr>
            <w:rFonts w:ascii="Verdana" w:eastAsia="Times New Roman" w:hAnsi="Verdana" w:cs="Times New Roman"/>
            <w:color w:val="0000FF"/>
            <w:sz w:val="20"/>
            <w:szCs w:val="20"/>
            <w:u w:val="single"/>
            <w:vertAlign w:val="superscript"/>
            <w:lang w:eastAsia="es-EC"/>
          </w:rPr>
          <w:t>36</w:t>
        </w:r>
      </w:hyperlink>
      <w:r w:rsidRPr="000B76A6">
        <w:rPr>
          <w:rFonts w:ascii="Verdana" w:eastAsia="Times New Roman" w:hAnsi="Verdana" w:cs="Times New Roman"/>
          <w:color w:val="000000"/>
          <w:sz w:val="20"/>
          <w:szCs w:val="20"/>
          <w:lang w:eastAsia="es-EC"/>
        </w:rPr>
        <w:t> . La doctrina se encuentra conteste al respecto, citando al unísono la explicación ya casi centenaria elaborada por John Wigmore:</w:t>
      </w:r>
    </w:p>
    <w:p w14:paraId="4B5073E2"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identidad del cliente del abogado, o el nombre de la parte efectivamente interesada, rara vez se comunicará de manera confidencial; por cuanto el proceso de litigar ordinariamente presupone la divulgación de estos hechos. Además, en la medida en que un cliente pueda de hecho desear el secreto y ser capaz de accionar sin figurar como parte en el procedimiento, sería impropio permitir tal deseo. Todo litigante tiene el justo derecho a conocer la identidad de sus oponentes. No puede ser obligado a luchar en la oscuridad contra fuerzas des conocidas. Si así lo desea, tiene de antemano el derecho de exigir, en procedimientos posteriores, la responsabilidad jurídica de aquellos que maliciosamente lo hayan demandado o procesado o hayan eludido de manera fraudulenta su demanda. Tiene tanto derecho a preguntarle al abogado </w:t>
      </w:r>
      <w:r w:rsidRPr="000B76A6">
        <w:rPr>
          <w:rFonts w:ascii="Verdana" w:eastAsia="Times New Roman" w:hAnsi="Verdana" w:cs="Times New Roman"/>
          <w:i/>
          <w:iCs/>
          <w:color w:val="000000"/>
          <w:sz w:val="20"/>
          <w:szCs w:val="20"/>
          <w:lang w:eastAsia="es-EC"/>
        </w:rPr>
        <w:t>‘¿Quién paga sus honorarios?’</w:t>
      </w:r>
      <w:r w:rsidRPr="000B76A6">
        <w:rPr>
          <w:rFonts w:ascii="Verdana" w:eastAsia="Times New Roman" w:hAnsi="Verdana" w:cs="Times New Roman"/>
          <w:color w:val="000000"/>
          <w:sz w:val="20"/>
          <w:szCs w:val="20"/>
          <w:lang w:eastAsia="es-EC"/>
        </w:rPr>
        <w:t> como a preguntar al testigo [...], </w:t>
      </w:r>
      <w:r w:rsidRPr="000B76A6">
        <w:rPr>
          <w:rFonts w:ascii="Verdana" w:eastAsia="Times New Roman" w:hAnsi="Verdana" w:cs="Times New Roman"/>
          <w:i/>
          <w:iCs/>
          <w:color w:val="000000"/>
          <w:sz w:val="20"/>
          <w:szCs w:val="20"/>
          <w:lang w:eastAsia="es-EC"/>
        </w:rPr>
        <w:t>‘¿Quién te mantiene durante este juicio?’</w:t>
      </w:r>
      <w:r w:rsidRPr="000B76A6">
        <w:rPr>
          <w:rFonts w:ascii="Verdana" w:eastAsia="Times New Roman" w:hAnsi="Verdana" w:cs="Times New Roman"/>
          <w:color w:val="000000"/>
          <w:sz w:val="20"/>
          <w:szCs w:val="20"/>
          <w:lang w:eastAsia="es-EC"/>
        </w:rPr>
        <w:t> . En base a la analogía del principio ya examinado [...], el privilegio no puede ser utilizado para evadir la responsabilidad de un cliente por el uso del proceso; y si para ese propósito es necesario hacer una clara excepción a la regla de confidencialidad, entonces debe hacerse. Por otro lado, el litigante no tiene derecho a preguntar más allá de lo que sirve para precisar la </w:t>
      </w:r>
      <w:r w:rsidRPr="000B76A6">
        <w:rPr>
          <w:rFonts w:ascii="Verdana" w:eastAsia="Times New Roman" w:hAnsi="Verdana" w:cs="Times New Roman"/>
          <w:i/>
          <w:iCs/>
          <w:color w:val="000000"/>
          <w:sz w:val="20"/>
          <w:szCs w:val="20"/>
          <w:lang w:eastAsia="es-EC"/>
        </w:rPr>
        <w:t>identidad del cliente</w:t>
      </w:r>
      <w:r w:rsidRPr="000B76A6">
        <w:rPr>
          <w:rFonts w:ascii="Verdana" w:eastAsia="Times New Roman" w:hAnsi="Verdana" w:cs="Times New Roman"/>
          <w:color w:val="000000"/>
          <w:sz w:val="20"/>
          <w:szCs w:val="20"/>
          <w:lang w:eastAsia="es-EC"/>
        </w:rPr>
        <w:t> . Una comunicación en cuanto a la naturaleza del título demandado, o la capacidad en que se presentó la demanda, o el motivo principal del litigio, queda igualmente protegida que otras, en cuanto se refieran a alguno de los objetivos de política pública del privilegio” (énfasis en el original) </w:t>
      </w:r>
      <w:hyperlink r:id="rId49" w:anchor="fn37" w:history="1">
        <w:r w:rsidRPr="000B76A6">
          <w:rPr>
            <w:rFonts w:ascii="Verdana" w:eastAsia="Times New Roman" w:hAnsi="Verdana" w:cs="Times New Roman"/>
            <w:color w:val="0000FF"/>
            <w:sz w:val="20"/>
            <w:szCs w:val="20"/>
            <w:u w:val="single"/>
            <w:vertAlign w:val="superscript"/>
            <w:lang w:eastAsia="es-EC"/>
          </w:rPr>
          <w:t>37</w:t>
        </w:r>
      </w:hyperlink>
      <w:r w:rsidRPr="000B76A6">
        <w:rPr>
          <w:rFonts w:ascii="Verdana" w:eastAsia="Times New Roman" w:hAnsi="Verdana" w:cs="Times New Roman"/>
          <w:color w:val="000000"/>
          <w:sz w:val="20"/>
          <w:szCs w:val="20"/>
          <w:lang w:eastAsia="es-EC"/>
        </w:rPr>
        <w:t> .</w:t>
      </w:r>
    </w:p>
    <w:p w14:paraId="687A7FE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no extensión del privilegio a la identidad del cliente litigioso se justifica, además, en el carácter adversarial o contradictorio que caracteriza al proceso civil:</w:t>
      </w:r>
    </w:p>
    <w:p w14:paraId="3E8A138B"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“Si a los abogados se les permitiera comparecer ante el tribunal y representar litigantes no identificados, no se produciría el necesario choque de intereses adversos. La maquinaria judicial podría ser abusada por las partes que se mantienen sin identificarse en un litigio. Para prevenir este abuso, las cortes por propia iniciativa pueden exigir al abogado revelar el nombre de la persona que le ha autorizado a comparecer [...] una eficiente administración de justicia exige que las partes en un litigio civil sean identificadas” </w:t>
      </w:r>
      <w:hyperlink r:id="rId50" w:anchor="fn38" w:history="1">
        <w:r w:rsidRPr="000B76A6">
          <w:rPr>
            <w:rFonts w:ascii="Verdana" w:eastAsia="Times New Roman" w:hAnsi="Verdana" w:cs="Times New Roman"/>
            <w:color w:val="0000FF"/>
            <w:sz w:val="20"/>
            <w:szCs w:val="20"/>
            <w:u w:val="single"/>
            <w:vertAlign w:val="superscript"/>
            <w:lang w:eastAsia="es-EC"/>
          </w:rPr>
          <w:t>38</w:t>
        </w:r>
      </w:hyperlink>
      <w:r w:rsidRPr="000B76A6">
        <w:rPr>
          <w:rFonts w:ascii="Verdana" w:eastAsia="Times New Roman" w:hAnsi="Verdana" w:cs="Times New Roman"/>
          <w:color w:val="000000"/>
          <w:sz w:val="20"/>
          <w:szCs w:val="20"/>
          <w:lang w:eastAsia="es-EC"/>
        </w:rPr>
        <w:t> .</w:t>
      </w:r>
    </w:p>
    <w:p w14:paraId="521C85A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“Un abogado, por ejemplo, podría querer invocar el privilegio respecto de la identidad del cliente en un litigio cuando su defendido actual fue anteriormente su cliente y el abogado pretende ocultar esa anterior representación. Pero aquí, antes que un problema de aplicación del privilegio, se trata de determinar si el abogado debe o no declarar sobre el hecho de la existencia de la representación previa, más que de la identidad de ese cliente. Dado que los expedientes judiciales son registros públicos, y que en esos registros debe figurar la representación de ese cliente por el abogado en cuestión, no resulta apropiada la justificación del privilegio porque se trataría de una comunicación confidencial” </w:t>
      </w:r>
      <w:hyperlink r:id="rId51" w:anchor="fn39" w:history="1">
        <w:r w:rsidRPr="000B76A6">
          <w:rPr>
            <w:rFonts w:ascii="Verdana" w:eastAsia="Times New Roman" w:hAnsi="Verdana" w:cs="Times New Roman"/>
            <w:color w:val="0000FF"/>
            <w:sz w:val="20"/>
            <w:szCs w:val="20"/>
            <w:u w:val="single"/>
            <w:vertAlign w:val="superscript"/>
            <w:lang w:eastAsia="es-EC"/>
          </w:rPr>
          <w:t>39</w:t>
        </w:r>
      </w:hyperlink>
      <w:r w:rsidRPr="000B76A6">
        <w:rPr>
          <w:rFonts w:ascii="Verdana" w:eastAsia="Times New Roman" w:hAnsi="Verdana" w:cs="Times New Roman"/>
          <w:color w:val="000000"/>
          <w:sz w:val="20"/>
          <w:szCs w:val="20"/>
          <w:lang w:eastAsia="es-EC"/>
        </w:rPr>
        <w:t> .</w:t>
      </w:r>
    </w:p>
    <w:p w14:paraId="2B4110F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el caso de la identidad del cliente, la barra de Nueva York ha sido consistente en la siguiente opinión:</w:t>
      </w:r>
    </w:p>
    <w:p w14:paraId="7A33D83F"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general la identidad del cliente no se considera privilegiada por cuanto su relevación no revela el contenido de comunicación alguna y la identidad no fue entregada con el propósito de obtener consejo legal, pero la identidad del cliente podría constituir un secreto porque su revelación podría resultar vergonzosa o perjudicial para el cliente” </w:t>
      </w:r>
      <w:hyperlink r:id="rId52" w:anchor="fn40" w:history="1">
        <w:r w:rsidRPr="000B76A6">
          <w:rPr>
            <w:rFonts w:ascii="Verdana" w:eastAsia="Times New Roman" w:hAnsi="Verdana" w:cs="Times New Roman"/>
            <w:color w:val="0000FF"/>
            <w:sz w:val="20"/>
            <w:szCs w:val="20"/>
            <w:u w:val="single"/>
            <w:vertAlign w:val="superscript"/>
            <w:lang w:eastAsia="es-EC"/>
          </w:rPr>
          <w:t>40</w:t>
        </w:r>
      </w:hyperlink>
      <w:r w:rsidRPr="000B76A6">
        <w:rPr>
          <w:rFonts w:ascii="Verdana" w:eastAsia="Times New Roman" w:hAnsi="Verdana" w:cs="Times New Roman"/>
          <w:color w:val="000000"/>
          <w:sz w:val="20"/>
          <w:szCs w:val="20"/>
          <w:lang w:eastAsia="es-EC"/>
        </w:rPr>
        <w:t> .</w:t>
      </w:r>
    </w:p>
    <w:p w14:paraId="31FBDBE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Aplicado lo anterior a un caso concreto, la misma barra se ha pronunciado frente a la consulta de si un abogado puede actuar a cuenta de su cliente sin revelar su identidad, por ejemplo, en el caso de realizar una donación con el propósito de que no sea retrotraída a la persona del cliente </w:t>
      </w:r>
      <w:hyperlink r:id="rId53" w:anchor="fn41" w:history="1">
        <w:r w:rsidRPr="000B76A6">
          <w:rPr>
            <w:rFonts w:ascii="Verdana" w:eastAsia="Times New Roman" w:hAnsi="Verdana" w:cs="Times New Roman"/>
            <w:color w:val="0000FF"/>
            <w:sz w:val="20"/>
            <w:szCs w:val="20"/>
            <w:u w:val="single"/>
            <w:vertAlign w:val="superscript"/>
            <w:lang w:eastAsia="es-EC"/>
          </w:rPr>
          <w:t>41</w:t>
        </w:r>
      </w:hyperlink>
      <w:r w:rsidRPr="000B76A6">
        <w:rPr>
          <w:rFonts w:ascii="Verdana" w:eastAsia="Times New Roman" w:hAnsi="Verdana" w:cs="Times New Roman"/>
          <w:color w:val="000000"/>
          <w:sz w:val="20"/>
          <w:szCs w:val="20"/>
          <w:lang w:eastAsia="es-EC"/>
        </w:rPr>
        <w:t> .</w:t>
      </w:r>
    </w:p>
    <w:p w14:paraId="262FFFD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barra opinó que la identidad del cliente puede quedar protegida bajo el deber de confidencialidad en la realización de una donación anónima, pues “se trataría de información que el cliente ha solicitado sea mantenida en forma confidencial” </w:t>
      </w:r>
      <w:hyperlink r:id="rId54" w:anchor="fn42" w:history="1">
        <w:r w:rsidRPr="000B76A6">
          <w:rPr>
            <w:rFonts w:ascii="Verdana" w:eastAsia="Times New Roman" w:hAnsi="Verdana" w:cs="Times New Roman"/>
            <w:color w:val="0000FF"/>
            <w:sz w:val="20"/>
            <w:szCs w:val="20"/>
            <w:u w:val="single"/>
            <w:vertAlign w:val="superscript"/>
            <w:lang w:eastAsia="es-EC"/>
          </w:rPr>
          <w:t>42</w:t>
        </w:r>
      </w:hyperlink>
      <w:r w:rsidRPr="000B76A6">
        <w:rPr>
          <w:rFonts w:ascii="Verdana" w:eastAsia="Times New Roman" w:hAnsi="Verdana" w:cs="Times New Roman"/>
          <w:color w:val="000000"/>
          <w:sz w:val="20"/>
          <w:szCs w:val="20"/>
          <w:lang w:eastAsia="es-EC"/>
        </w:rPr>
        <w:t> . Sin embargo, si bien esto puede permitirse, no resulta suficiente para desempeñar el encargo de realizar la donación si esta resulta contraria al derecho:</w:t>
      </w:r>
    </w:p>
    <w:p w14:paraId="1A779E0D"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abogado debe ser cuidadoso de inducir a error respecto a la identidad del donante, por ejemplo, al identificar a la persona del donante con la cuenta de fondos del propio abogado ( </w:t>
      </w:r>
      <w:r w:rsidRPr="000B76A6">
        <w:rPr>
          <w:rFonts w:ascii="Verdana" w:eastAsia="Times New Roman" w:hAnsi="Verdana" w:cs="Times New Roman"/>
          <w:i/>
          <w:iCs/>
          <w:color w:val="000000"/>
          <w:sz w:val="20"/>
          <w:szCs w:val="20"/>
          <w:lang w:eastAsia="es-EC"/>
        </w:rPr>
        <w:t>trust account</w:t>
      </w:r>
      <w:r w:rsidRPr="000B76A6">
        <w:rPr>
          <w:rFonts w:ascii="Verdana" w:eastAsia="Times New Roman" w:hAnsi="Verdana" w:cs="Times New Roman"/>
          <w:color w:val="000000"/>
          <w:sz w:val="20"/>
          <w:szCs w:val="20"/>
          <w:lang w:eastAsia="es-EC"/>
        </w:rPr>
        <w:t> )” </w:t>
      </w:r>
      <w:hyperlink r:id="rId55" w:anchor="fn43" w:history="1">
        <w:r w:rsidRPr="000B76A6">
          <w:rPr>
            <w:rFonts w:ascii="Verdana" w:eastAsia="Times New Roman" w:hAnsi="Verdana" w:cs="Times New Roman"/>
            <w:color w:val="0000FF"/>
            <w:sz w:val="20"/>
            <w:szCs w:val="20"/>
            <w:u w:val="single"/>
            <w:vertAlign w:val="superscript"/>
            <w:lang w:eastAsia="es-EC"/>
          </w:rPr>
          <w:t>43</w:t>
        </w:r>
      </w:hyperlink>
      <w:r w:rsidRPr="000B76A6">
        <w:rPr>
          <w:rFonts w:ascii="Verdana" w:eastAsia="Times New Roman" w:hAnsi="Verdana" w:cs="Times New Roman"/>
          <w:color w:val="000000"/>
          <w:sz w:val="20"/>
          <w:szCs w:val="20"/>
          <w:lang w:eastAsia="es-EC"/>
        </w:rPr>
        <w:t> .</w:t>
      </w:r>
    </w:p>
    <w:p w14:paraId="79F7074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ese sentido, una donación anónima a costa del cliente debe evitar ser percibida como una donación del abogado, ya que:</w:t>
      </w:r>
    </w:p>
    <w:p w14:paraId="14DE1ABD"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“No resulta difícil de imaginar que la identidad del donante puede ser exigida para asegurarse de que la donación se encuentra conforme a Derecho (que, por ejemplo, no proviene de una fuente extranjera impropia, no evade su insinuación o los límites monetarios permitidos)” </w:t>
      </w:r>
      <w:hyperlink r:id="rId56" w:anchor="fn44" w:history="1">
        <w:r w:rsidRPr="000B76A6">
          <w:rPr>
            <w:rFonts w:ascii="Verdana" w:eastAsia="Times New Roman" w:hAnsi="Verdana" w:cs="Times New Roman"/>
            <w:color w:val="0000FF"/>
            <w:sz w:val="20"/>
            <w:szCs w:val="20"/>
            <w:u w:val="single"/>
            <w:vertAlign w:val="superscript"/>
            <w:lang w:eastAsia="es-EC"/>
          </w:rPr>
          <w:t>44</w:t>
        </w:r>
      </w:hyperlink>
      <w:r w:rsidRPr="000B76A6">
        <w:rPr>
          <w:rFonts w:ascii="Verdana" w:eastAsia="Times New Roman" w:hAnsi="Verdana" w:cs="Times New Roman"/>
          <w:color w:val="000000"/>
          <w:sz w:val="20"/>
          <w:szCs w:val="20"/>
          <w:lang w:eastAsia="es-EC"/>
        </w:rPr>
        <w:t> .</w:t>
      </w:r>
    </w:p>
    <w:p w14:paraId="27B47B2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Como vemos, esta experiencia comparada revela como regla general que la identidad del cliente no está cubierta por el privilegio abogado-cliente. Solo puede estarlo excepcionalmente y nunca, lo que es fundamental para la materia de este informe, cuando el cliente busca perseguir su interés accionando ante un tribunal. ¿Cómo lo regula la legislación chilena?</w:t>
      </w:r>
    </w:p>
    <w:p w14:paraId="51E4A33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6" w:name="idm506"/>
      <w:bookmarkEnd w:id="26"/>
      <w:r w:rsidRPr="000B76A6">
        <w:rPr>
          <w:rFonts w:ascii="Verdana" w:eastAsia="Times New Roman" w:hAnsi="Verdana" w:cs="Times New Roman"/>
          <w:b/>
          <w:bCs/>
          <w:color w:val="000000"/>
          <w:sz w:val="20"/>
          <w:szCs w:val="20"/>
          <w:lang w:eastAsia="es-EC"/>
        </w:rPr>
        <w:t>3. El secreto profesional en Chile</w:t>
      </w:r>
    </w:p>
    <w:p w14:paraId="4B5642F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el procedimiento civil regulado por el </w:t>
      </w:r>
      <w:r w:rsidRPr="000B76A6">
        <w:rPr>
          <w:rFonts w:ascii="Verdana" w:eastAsia="Times New Roman" w:hAnsi="Verdana" w:cs="Times New Roman"/>
          <w:i/>
          <w:iCs/>
          <w:color w:val="000000"/>
          <w:sz w:val="20"/>
          <w:szCs w:val="20"/>
          <w:lang w:eastAsia="es-EC"/>
        </w:rPr>
        <w:t>CPC</w:t>
      </w:r>
      <w:r w:rsidRPr="000B76A6">
        <w:rPr>
          <w:rFonts w:ascii="Verdana" w:eastAsia="Times New Roman" w:hAnsi="Verdana" w:cs="Times New Roman"/>
          <w:color w:val="000000"/>
          <w:sz w:val="20"/>
          <w:szCs w:val="20"/>
          <w:lang w:eastAsia="es-EC"/>
        </w:rPr>
        <w:t> , legislación que es supletoria para los demás procedimientos, se exime de la siguiente manera a los abogados de la obligación de declarar en razón del secreto profesional:</w:t>
      </w:r>
    </w:p>
    <w:p w14:paraId="4754746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360. No serán obligados a declarar:</w:t>
      </w:r>
    </w:p>
    <w:p w14:paraId="0E021F09"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1°. Los eclesiásticos, abogados, escribanos, procuradores, médicos y matronas, sobre </w:t>
      </w:r>
      <w:r w:rsidRPr="000B76A6">
        <w:rPr>
          <w:rFonts w:ascii="Verdana" w:eastAsia="Times New Roman" w:hAnsi="Verdana" w:cs="Times New Roman"/>
          <w:i/>
          <w:iCs/>
          <w:color w:val="000000"/>
          <w:sz w:val="20"/>
          <w:szCs w:val="20"/>
          <w:lang w:eastAsia="es-EC"/>
        </w:rPr>
        <w:t>hechos</w:t>
      </w:r>
      <w:r w:rsidRPr="000B76A6">
        <w:rPr>
          <w:rFonts w:ascii="Verdana" w:eastAsia="Times New Roman" w:hAnsi="Verdana" w:cs="Times New Roman"/>
          <w:color w:val="000000"/>
          <w:sz w:val="20"/>
          <w:szCs w:val="20"/>
          <w:lang w:eastAsia="es-EC"/>
        </w:rPr>
        <w:t> que se </w:t>
      </w:r>
      <w:r w:rsidRPr="000B76A6">
        <w:rPr>
          <w:rFonts w:ascii="Verdana" w:eastAsia="Times New Roman" w:hAnsi="Verdana" w:cs="Times New Roman"/>
          <w:i/>
          <w:iCs/>
          <w:color w:val="000000"/>
          <w:sz w:val="20"/>
          <w:szCs w:val="20"/>
          <w:lang w:eastAsia="es-EC"/>
        </w:rPr>
        <w:t>les hayan comunicado confidencialmente con ocasión de su</w:t>
      </w:r>
      <w:r w:rsidRPr="000B76A6">
        <w:rPr>
          <w:rFonts w:ascii="Verdana" w:eastAsia="Times New Roman" w:hAnsi="Verdana" w:cs="Times New Roman"/>
          <w:color w:val="000000"/>
          <w:sz w:val="20"/>
          <w:szCs w:val="20"/>
          <w:lang w:eastAsia="es-EC"/>
        </w:rPr>
        <w:t> estado, </w:t>
      </w:r>
      <w:r w:rsidRPr="000B76A6">
        <w:rPr>
          <w:rFonts w:ascii="Verdana" w:eastAsia="Times New Roman" w:hAnsi="Verdana" w:cs="Times New Roman"/>
          <w:i/>
          <w:iCs/>
          <w:color w:val="000000"/>
          <w:sz w:val="20"/>
          <w:szCs w:val="20"/>
          <w:lang w:eastAsia="es-EC"/>
        </w:rPr>
        <w:t>profesión</w:t>
      </w:r>
      <w:r w:rsidRPr="000B76A6">
        <w:rPr>
          <w:rFonts w:ascii="Verdana" w:eastAsia="Times New Roman" w:hAnsi="Verdana" w:cs="Times New Roman"/>
          <w:color w:val="000000"/>
          <w:sz w:val="20"/>
          <w:szCs w:val="20"/>
          <w:lang w:eastAsia="es-EC"/>
        </w:rPr>
        <w:t> u oficio” (énfasis agregado).</w:t>
      </w:r>
    </w:p>
    <w:p w14:paraId="026D55A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el </w:t>
      </w:r>
      <w:r w:rsidRPr="000B76A6">
        <w:rPr>
          <w:rFonts w:ascii="Verdana" w:eastAsia="Times New Roman" w:hAnsi="Verdana" w:cs="Times New Roman"/>
          <w:i/>
          <w:iCs/>
          <w:color w:val="000000"/>
          <w:sz w:val="20"/>
          <w:szCs w:val="20"/>
          <w:lang w:eastAsia="es-EC"/>
        </w:rPr>
        <w:t>Código Procesal Penal</w:t>
      </w:r>
      <w:r w:rsidRPr="000B76A6">
        <w:rPr>
          <w:rFonts w:ascii="Verdana" w:eastAsia="Times New Roman" w:hAnsi="Verdana" w:cs="Times New Roman"/>
          <w:color w:val="000000"/>
          <w:sz w:val="20"/>
          <w:szCs w:val="20"/>
          <w:lang w:eastAsia="es-EC"/>
        </w:rPr>
        <w:t> la regulación es similar, reflejando una concepción cercana a la estadounidense en el sentido de que el titular de ese secreto es el cliente y no el abogado:</w:t>
      </w:r>
    </w:p>
    <w:p w14:paraId="377C39D8"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303.Facultad de abstenerse de declarar por razones de secreto. Tampoco estarán obligadas a declarar </w:t>
      </w:r>
      <w:r w:rsidRPr="000B76A6">
        <w:rPr>
          <w:rFonts w:ascii="Verdana" w:eastAsia="Times New Roman" w:hAnsi="Verdana" w:cs="Times New Roman"/>
          <w:i/>
          <w:iCs/>
          <w:color w:val="000000"/>
          <w:sz w:val="20"/>
          <w:szCs w:val="20"/>
          <w:lang w:eastAsia="es-EC"/>
        </w:rPr>
        <w:t>aquellas personas que, por su</w:t>
      </w:r>
      <w:r w:rsidRPr="000B76A6">
        <w:rPr>
          <w:rFonts w:ascii="Verdana" w:eastAsia="Times New Roman" w:hAnsi="Verdana" w:cs="Times New Roman"/>
          <w:color w:val="000000"/>
          <w:sz w:val="20"/>
          <w:szCs w:val="20"/>
          <w:lang w:eastAsia="es-EC"/>
        </w:rPr>
        <w:t> estado, </w:t>
      </w:r>
      <w:r w:rsidRPr="000B76A6">
        <w:rPr>
          <w:rFonts w:ascii="Verdana" w:eastAsia="Times New Roman" w:hAnsi="Verdana" w:cs="Times New Roman"/>
          <w:i/>
          <w:iCs/>
          <w:color w:val="000000"/>
          <w:sz w:val="20"/>
          <w:szCs w:val="20"/>
          <w:lang w:eastAsia="es-EC"/>
        </w:rPr>
        <w:t>profesión o función legal, como el abogado, médico o confesor, tuvieren el deber de guardar el secreto que se les hubiere confiado, pero únicamente en lo que se refiriere a dicho secreto</w:t>
      </w:r>
      <w:r w:rsidRPr="000B76A6">
        <w:rPr>
          <w:rFonts w:ascii="Verdana" w:eastAsia="Times New Roman" w:hAnsi="Verdana" w:cs="Times New Roman"/>
          <w:color w:val="000000"/>
          <w:sz w:val="20"/>
          <w:szCs w:val="20"/>
          <w:lang w:eastAsia="es-EC"/>
        </w:rPr>
        <w:t> .</w:t>
      </w:r>
    </w:p>
    <w:p w14:paraId="33C3DA3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Las personas comprendidas en el inciso anterior no podrán invocar la facultad allí reconocida cuando se las relevare del deber de guardar secreto por aquel que lo hubiere confiado”.</w:t>
      </w:r>
    </w:p>
    <w:p w14:paraId="7B96D95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Esta misma esfera de protección restringida a los </w:t>
      </w:r>
      <w:r w:rsidRPr="000B76A6">
        <w:rPr>
          <w:rFonts w:ascii="Verdana" w:eastAsia="Times New Roman" w:hAnsi="Verdana" w:cs="Times New Roman"/>
          <w:i/>
          <w:iCs/>
          <w:color w:val="000000"/>
          <w:sz w:val="20"/>
          <w:szCs w:val="20"/>
          <w:lang w:eastAsia="es-EC"/>
        </w:rPr>
        <w:t>hechos confidenciales o secretos comunicados por el cliente al abogado</w:t>
      </w:r>
      <w:r w:rsidRPr="000B76A6">
        <w:rPr>
          <w:rFonts w:ascii="Verdana" w:eastAsia="Times New Roman" w:hAnsi="Verdana" w:cs="Times New Roman"/>
          <w:color w:val="000000"/>
          <w:sz w:val="20"/>
          <w:szCs w:val="20"/>
          <w:lang w:eastAsia="es-EC"/>
        </w:rPr>
        <w:t> , es reconocida en materia de medidas intrusivas autorizadas judicialmente para efectos de llevar a cabo la investigación penal por parte del Ministerio Público. Un ejemplo reciente de esta regulación se encuentra en la legislación sobre libre competencia contenida en el DL 211 de 1973:</w:t>
      </w:r>
    </w:p>
    <w:p w14:paraId="651D311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39º: El Fiscal Nacional Económico, en el ejercicio de sus funciones, será independiente de todas las autoridades y tribunales ante los cuales actúe. Podrá, en consecuencia, defender los intereses que le están encomendados en la forma que estime arreglada a derecho.</w:t>
      </w:r>
    </w:p>
    <w:p w14:paraId="2BF0AEF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Serán atribuciones y deberes del Fiscal Nacional Económico:</w:t>
      </w:r>
    </w:p>
    <w:p w14:paraId="4B745C38" w14:textId="77777777" w:rsidR="000B76A6" w:rsidRPr="000B76A6" w:rsidRDefault="000B76A6" w:rsidP="000B76A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27" w:name="idm527"/>
      <w:bookmarkEnd w:id="27"/>
      <w:r w:rsidRPr="000B76A6">
        <w:rPr>
          <w:rFonts w:ascii="Verdana" w:eastAsia="Times New Roman" w:hAnsi="Verdana" w:cs="Times New Roman"/>
          <w:color w:val="000000"/>
          <w:sz w:val="20"/>
          <w:szCs w:val="20"/>
          <w:lang w:eastAsia="es-EC"/>
        </w:rPr>
        <w:t>n) En casos graves y calificados de investigaciones destinadas a acreditar conductas de las descritas en la letra a) del artículo 3°, solicitar, mediante petición fundada y con la aprobación previa del Tribunal de Defensa de la Libre Competencia, autorización al Ministro de la Corte de Apelaciones de Santiago que corresponda de acuerdo al turno, para que Carabineros o la Policía de Investigaciones, bajo la dirección del funcionario de la Fiscalía Nacional Económica que indique la solicitud, proceda a:</w:t>
      </w:r>
    </w:p>
    <w:p w14:paraId="4A02B62C" w14:textId="77777777" w:rsidR="000B76A6" w:rsidRPr="000B76A6" w:rsidRDefault="000B76A6" w:rsidP="000B76A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n.1) Entrar a recintos públicos o privados y, si fuere necesario, a alla-nar y descerrajar;</w:t>
      </w:r>
    </w:p>
    <w:p w14:paraId="65138A0D" w14:textId="77777777" w:rsidR="000B76A6" w:rsidRPr="000B76A6" w:rsidRDefault="000B76A6" w:rsidP="000B76A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n.2) Registrar e incautar toda clase de objetos y documentos que permitan acreditar la existencia de la infracción;</w:t>
      </w:r>
    </w:p>
    <w:p w14:paraId="39A40D48" w14:textId="77777777" w:rsidR="000B76A6" w:rsidRPr="000B76A6" w:rsidRDefault="000B76A6" w:rsidP="000B76A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n.3) Autorizar la interceptación de toda clase de comunicaciones, y</w:t>
      </w:r>
    </w:p>
    <w:p w14:paraId="659E66F5" w14:textId="77777777" w:rsidR="000B76A6" w:rsidRPr="000B76A6" w:rsidRDefault="000B76A6" w:rsidP="000B76A6">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n.4) Ordenar a cualquier empresa que preste servicios de comunicaciones, que facilite copias y registros de las comunicaciones transmitidas o recibidas por ella [...].</w:t>
      </w:r>
    </w:p>
    <w:p w14:paraId="08E0C31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ejercicio de las facultades conferidas en el párrafo primero, deberá sujetarse a los requisitos y formalidades establecidos en los artículos 205; 207; 208; 209, incisos primero, segundo y tercero, no siendo aplicable la remisión de los antecedentes al fiscal regional para los efectos previstos en este último inciso; 210; 212 a 214, y 216 a 225, salvo el inciso tercero del artículo 222, del Código Procesal Penal. Sin perjuicio de lo anterior, la Fiscalía </w:t>
      </w:r>
      <w:r w:rsidRPr="000B76A6">
        <w:rPr>
          <w:rFonts w:ascii="Verdana" w:eastAsia="Times New Roman" w:hAnsi="Verdana" w:cs="Times New Roman"/>
          <w:i/>
          <w:iCs/>
          <w:color w:val="000000"/>
          <w:sz w:val="20"/>
          <w:szCs w:val="20"/>
          <w:lang w:eastAsia="es-EC"/>
        </w:rPr>
        <w:t>no podrá interceptar las comunicaciones entre el sujeto investigado y aquellas personas que, por su estado, profesión o función legal, como el abogado, médico o confesor, tuvieren el deber de guardar el secreto que se les hubiere confiado</w:t>
      </w:r>
      <w:r w:rsidRPr="000B76A6">
        <w:rPr>
          <w:rFonts w:ascii="Verdana" w:eastAsia="Times New Roman" w:hAnsi="Verdana" w:cs="Times New Roman"/>
          <w:color w:val="000000"/>
          <w:sz w:val="20"/>
          <w:szCs w:val="20"/>
          <w:lang w:eastAsia="es-EC"/>
        </w:rPr>
        <w:t> ” (énfasis agregado).</w:t>
      </w:r>
    </w:p>
    <w:p w14:paraId="31A9D78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contracara de esta excepción legal al deber de declarar o en cuanto prohibición de incautar, interceptar o intervenir las comunicaciones entre cliente y abogado, se encuentra en los delitos del </w:t>
      </w:r>
      <w:r w:rsidRPr="000B76A6">
        <w:rPr>
          <w:rFonts w:ascii="Verdana" w:eastAsia="Times New Roman" w:hAnsi="Verdana" w:cs="Times New Roman"/>
          <w:i/>
          <w:iCs/>
          <w:color w:val="000000"/>
          <w:sz w:val="20"/>
          <w:szCs w:val="20"/>
          <w:lang w:eastAsia="es-EC"/>
        </w:rPr>
        <w:t>Código Penal</w:t>
      </w:r>
      <w:r w:rsidRPr="000B76A6">
        <w:rPr>
          <w:rFonts w:ascii="Verdana" w:eastAsia="Times New Roman" w:hAnsi="Verdana" w:cs="Times New Roman"/>
          <w:color w:val="000000"/>
          <w:sz w:val="20"/>
          <w:szCs w:val="20"/>
          <w:lang w:eastAsia="es-EC"/>
        </w:rPr>
        <w:t> que castigan la revelación o uso malicioso de dichos secretos por parte del profesional:</w:t>
      </w:r>
    </w:p>
    <w:p w14:paraId="5BBEEF8C"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231. El abogado o procurador que con abuso malicioso de su oficio, perjudicare a su cliente o </w:t>
      </w:r>
      <w:r w:rsidRPr="000B76A6">
        <w:rPr>
          <w:rFonts w:ascii="Verdana" w:eastAsia="Times New Roman" w:hAnsi="Verdana" w:cs="Times New Roman"/>
          <w:i/>
          <w:iCs/>
          <w:color w:val="000000"/>
          <w:sz w:val="20"/>
          <w:szCs w:val="20"/>
          <w:lang w:eastAsia="es-EC"/>
        </w:rPr>
        <w:t>descubriere sus secretos</w:t>
      </w:r>
      <w:r w:rsidRPr="000B76A6">
        <w:rPr>
          <w:rFonts w:ascii="Verdana" w:eastAsia="Times New Roman" w:hAnsi="Verdana" w:cs="Times New Roman"/>
          <w:color w:val="000000"/>
          <w:sz w:val="20"/>
          <w:szCs w:val="20"/>
          <w:lang w:eastAsia="es-EC"/>
        </w:rPr>
        <w:t> , será castigado según la gravedad del perjuicio que causare, con la pena de suspensión en su grado mínimo a inhabilitación especial perpetua para el cargo o profesión y multa de once a veinte unidades tributarias mensuales” (énfasis agregado).</w:t>
      </w:r>
    </w:p>
    <w:p w14:paraId="46F8B7F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247. El empleado público que, </w:t>
      </w:r>
      <w:r w:rsidRPr="000B76A6">
        <w:rPr>
          <w:rFonts w:ascii="Verdana" w:eastAsia="Times New Roman" w:hAnsi="Verdana" w:cs="Times New Roman"/>
          <w:i/>
          <w:iCs/>
          <w:color w:val="000000"/>
          <w:sz w:val="20"/>
          <w:szCs w:val="20"/>
          <w:lang w:eastAsia="es-EC"/>
        </w:rPr>
        <w:t>sabiendo por razón de su cargo los secretos de un particular, los descubriere con perjuicio de éste</w:t>
      </w:r>
      <w:r w:rsidRPr="000B76A6">
        <w:rPr>
          <w:rFonts w:ascii="Verdana" w:eastAsia="Times New Roman" w:hAnsi="Verdana" w:cs="Times New Roman"/>
          <w:color w:val="000000"/>
          <w:sz w:val="20"/>
          <w:szCs w:val="20"/>
          <w:lang w:eastAsia="es-EC"/>
        </w:rPr>
        <w:t> , incurrirá en las penas de reclusión menor en sus grados mínimo a medio y multa de seis a diez unidades tributarias mensuales.</w:t>
      </w:r>
    </w:p>
    <w:p w14:paraId="4EB613A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Las mismas penas se aplicarán a los que, </w:t>
      </w:r>
      <w:r w:rsidRPr="000B76A6">
        <w:rPr>
          <w:rFonts w:ascii="Verdana" w:eastAsia="Times New Roman" w:hAnsi="Verdana" w:cs="Times New Roman"/>
          <w:i/>
          <w:iCs/>
          <w:color w:val="000000"/>
          <w:sz w:val="20"/>
          <w:szCs w:val="20"/>
          <w:lang w:eastAsia="es-EC"/>
        </w:rPr>
        <w:t>ejerciendo alguna de las profesiones que requieren título, revelen los secretos que por razón de ella se les hubieren confiado</w:t>
      </w:r>
      <w:r w:rsidRPr="000B76A6">
        <w:rPr>
          <w:rFonts w:ascii="Verdana" w:eastAsia="Times New Roman" w:hAnsi="Verdana" w:cs="Times New Roman"/>
          <w:color w:val="000000"/>
          <w:sz w:val="20"/>
          <w:szCs w:val="20"/>
          <w:lang w:eastAsia="es-EC"/>
        </w:rPr>
        <w:t> ” (énfasis agregado).</w:t>
      </w:r>
    </w:p>
    <w:p w14:paraId="3A1C21B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suma, como se desprende de la regulación citada, el secreto profesional en cuanto exención al deber legal de declarar, informar o tolerar medidas intrusivas autorizadas por un tribunal, se limita a:</w:t>
      </w:r>
    </w:p>
    <w:p w14:paraId="64455618"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(1.1.) </w:t>
      </w:r>
      <w:r w:rsidRPr="000B76A6">
        <w:rPr>
          <w:rFonts w:ascii="Verdana" w:eastAsia="Times New Roman" w:hAnsi="Verdana" w:cs="Times New Roman"/>
          <w:i/>
          <w:iCs/>
          <w:color w:val="000000"/>
          <w:sz w:val="20"/>
          <w:szCs w:val="20"/>
          <w:lang w:eastAsia="es-EC"/>
        </w:rPr>
        <w:t>hechos</w:t>
      </w:r>
      <w:r w:rsidRPr="000B76A6">
        <w:rPr>
          <w:rFonts w:ascii="Verdana" w:eastAsia="Times New Roman" w:hAnsi="Verdana" w:cs="Times New Roman"/>
          <w:color w:val="000000"/>
          <w:sz w:val="20"/>
          <w:szCs w:val="20"/>
          <w:lang w:eastAsia="es-EC"/>
        </w:rPr>
        <w:t> o</w:t>
      </w:r>
    </w:p>
    <w:p w14:paraId="5304CBE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(1.2.) </w:t>
      </w:r>
      <w:r w:rsidRPr="000B76A6">
        <w:rPr>
          <w:rFonts w:ascii="Verdana" w:eastAsia="Times New Roman" w:hAnsi="Verdana" w:cs="Times New Roman"/>
          <w:i/>
          <w:iCs/>
          <w:color w:val="000000"/>
          <w:sz w:val="20"/>
          <w:szCs w:val="20"/>
          <w:lang w:eastAsia="es-EC"/>
        </w:rPr>
        <w:t>secretos,</w:t>
      </w:r>
    </w:p>
    <w:p w14:paraId="7A0F606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(2) </w:t>
      </w:r>
      <w:r w:rsidRPr="000B76A6">
        <w:rPr>
          <w:rFonts w:ascii="Verdana" w:eastAsia="Times New Roman" w:hAnsi="Verdana" w:cs="Times New Roman"/>
          <w:i/>
          <w:iCs/>
          <w:color w:val="000000"/>
          <w:sz w:val="20"/>
          <w:szCs w:val="20"/>
          <w:lang w:eastAsia="es-EC"/>
        </w:rPr>
        <w:t>comunicados</w:t>
      </w:r>
    </w:p>
    <w:p w14:paraId="3AF2BA3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(3) </w:t>
      </w:r>
      <w:r w:rsidRPr="000B76A6">
        <w:rPr>
          <w:rFonts w:ascii="Verdana" w:eastAsia="Times New Roman" w:hAnsi="Verdana" w:cs="Times New Roman"/>
          <w:i/>
          <w:iCs/>
          <w:color w:val="000000"/>
          <w:sz w:val="20"/>
          <w:szCs w:val="20"/>
          <w:lang w:eastAsia="es-EC"/>
        </w:rPr>
        <w:t>confidencialmente</w:t>
      </w:r>
    </w:p>
    <w:p w14:paraId="0CDFC08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(4) </w:t>
      </w:r>
      <w:r w:rsidRPr="000B76A6">
        <w:rPr>
          <w:rFonts w:ascii="Verdana" w:eastAsia="Times New Roman" w:hAnsi="Verdana" w:cs="Times New Roman"/>
          <w:i/>
          <w:iCs/>
          <w:color w:val="000000"/>
          <w:sz w:val="20"/>
          <w:szCs w:val="20"/>
          <w:lang w:eastAsia="es-EC"/>
        </w:rPr>
        <w:t>por el cliente</w:t>
      </w:r>
    </w:p>
    <w:p w14:paraId="7EEACDD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(5) </w:t>
      </w:r>
      <w:r w:rsidRPr="000B76A6">
        <w:rPr>
          <w:rFonts w:ascii="Verdana" w:eastAsia="Times New Roman" w:hAnsi="Verdana" w:cs="Times New Roman"/>
          <w:i/>
          <w:iCs/>
          <w:color w:val="000000"/>
          <w:sz w:val="20"/>
          <w:szCs w:val="20"/>
          <w:lang w:eastAsia="es-EC"/>
        </w:rPr>
        <w:t>con ocasión o en razón de su profesión</w:t>
      </w:r>
      <w:r w:rsidRPr="000B76A6">
        <w:rPr>
          <w:rFonts w:ascii="Verdana" w:eastAsia="Times New Roman" w:hAnsi="Verdana" w:cs="Times New Roman"/>
          <w:color w:val="000000"/>
          <w:sz w:val="20"/>
          <w:szCs w:val="20"/>
          <w:lang w:eastAsia="es-EC"/>
        </w:rPr>
        <w:t> .</w:t>
      </w:r>
    </w:p>
    <w:p w14:paraId="10E8A60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Se trata de una protección análoga a la del privilegio cliente-abogado en el derecho estadounidense, en cuanto no se extiende en forma natural y omnicomprensiva a toda la información del cliente, como sucede con el deber de confidencialidad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 Cabe agregar que la no inclusión de la identidad del cliente como hecho confidencial o secreto amparado por el secreto profesional, no refleja una mera omisión legislativa, por cuanto las reglas citadas presuponen la identificación clara de las partes en un juicio o investigación en curso, para su correcta aplicación dirigida a excluir determinadas comunicaciones referidas a hechos confidenciales o secretos confiados al abogado. Así, nada hay en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vigente en Chile –ni lo hubo en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que permita entender la conducta del abogado que litiga en apariencia como un cumplimiento de su deber de confidencialidad. Tampoco lo hay respecto del secreto profesional, ni en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ni en la ley.</w:t>
      </w:r>
    </w:p>
    <w:p w14:paraId="48360F1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jurisprudencia nacional, por su parte, ha ampliado el concepto de ‘confidencia’ o ‘secretos’ respecto de determinados hechos realizados por un abogado en el marco de un encargo profesional. Sin embargo, esta interpretación amplia de la legislación procesal no se ha extendido al resguardo de la identidad del cliente, por lo que se ha negado a calificarla como una comunicación confidencial. En </w:t>
      </w:r>
      <w:hyperlink r:id="rId57" w:anchor="B26" w:history="1">
        <w:r w:rsidRPr="000B76A6">
          <w:rPr>
            <w:rFonts w:ascii="Verdana" w:eastAsia="Times New Roman" w:hAnsi="Verdana" w:cs="Times New Roman"/>
            <w:color w:val="0000FF"/>
            <w:sz w:val="20"/>
            <w:szCs w:val="20"/>
            <w:u w:val="single"/>
            <w:vertAlign w:val="superscript"/>
            <w:lang w:eastAsia="es-EC"/>
          </w:rPr>
          <w:t>G. con G. (1954)</w:t>
        </w:r>
      </w:hyperlink>
      <w:r w:rsidRPr="000B76A6">
        <w:rPr>
          <w:rFonts w:ascii="Verdana" w:eastAsia="Times New Roman" w:hAnsi="Verdana" w:cs="Times New Roman"/>
          <w:color w:val="000000"/>
          <w:sz w:val="20"/>
          <w:szCs w:val="20"/>
          <w:lang w:eastAsia="es-EC"/>
        </w:rPr>
        <w:t>, la Corte Suprema, en sede de recurso de queja, revocó la decisión de la Corte de Apelaciones de Santiago, que había sostenido que los hechos personales de un abogado –el entonces presidente del Colegio de Abogados de Chile Arturo Alessandri Rodríguez–, no podían considerarse comunicaciones confidenciales. En la controversia, la demandante sostenía que su padre demandado, además de pagarle la asignación por concepto de alimentos fijados por sentencia judicial, le entregaba una suma complementaria mensual acordada en forma verbal, pago que habría sido realizado por medio del abogado Arturo Alessandri, quien actuaba como patrocinante del demandado en dicho juicio de alimentos. La Corte Suprema concluyó que dicha comisión de pago de alimentos realizada por el abogado, respecto de la cual existía una discrepancia en juicio, cabría calificarla como un acto confidencial sobre el cual el abogado no está obligado a declarar “por más que hubiere actuado personalmente” (considerando 4.°).</w:t>
      </w:r>
    </w:p>
    <w:p w14:paraId="5CECE5A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sentencia en cuestión, además de no amparar la identidad del cliente, fue dictada en un contexto en el cual la identidad del cliente era sustancial para efectos de determinar si cabía o no la exención de declarar en razón del secreto profesional. Es decir, para determinar si los actos personales del abogado podían ser amparados por el secreto profesional, era condición esencial conocer la identidad del cliente, pues el abogado que esgrime dicha exención o derecho a no declarar lo hace en su calidad de mandatario y representante judicial de dicho cliente, y respecto de hechos ocurridos en el marco de esa relación profesional. No lo hace en calidad de deudor obligado al pago de alimentos.</w:t>
      </w:r>
    </w:p>
    <w:p w14:paraId="07340A4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Un desarrollo jurisprudencial reciente, sobre los alcances del secreto profesional, se produjo en el contexto de la demanda marítima interpuesta por Perú en contra de Chile ante la Corte Internacional de Justicia de La Haya (</w:t>
      </w:r>
      <w:hyperlink r:id="rId58" w:anchor="B28" w:history="1">
        <w:r w:rsidRPr="000B76A6">
          <w:rPr>
            <w:rFonts w:ascii="Verdana" w:eastAsia="Times New Roman" w:hAnsi="Verdana" w:cs="Times New Roman"/>
            <w:color w:val="0000FF"/>
            <w:sz w:val="20"/>
            <w:szCs w:val="20"/>
            <w:u w:val="single"/>
            <w:vertAlign w:val="superscript"/>
            <w:lang w:eastAsia="es-EC"/>
          </w:rPr>
          <w:t>Ministerio de Relaciones Exteriores con Consejo para la Transparencia 2014</w:t>
        </w:r>
      </w:hyperlink>
      <w:r w:rsidRPr="000B76A6">
        <w:rPr>
          <w:rFonts w:ascii="Verdana" w:eastAsia="Times New Roman" w:hAnsi="Verdana" w:cs="Times New Roman"/>
          <w:color w:val="000000"/>
          <w:sz w:val="20"/>
          <w:szCs w:val="20"/>
          <w:lang w:eastAsia="es-EC"/>
        </w:rPr>
        <w:t>). En la controversia, una ciudadana argentina solicitó al amparo de la Ley n.º 20285, más conocida como Ley de Transparencia, información sobre la identidad y honorarios de los abogados extranjeros contratados por el Estado chileno para su representación en dicho juicio. La Corte Suprema, conociendo de un recurso de queja, revocó la decisión de la Corte de Apelaciones de Santiago, que, a su vez, había confirmado la decisión del Consejo para la Transparencia, que obligó a la entrega de dicha información. Los fundamentos dados por la Corte Suprema ejemplifican lo excepcional de la situación que justificó la reserva de identidad y de los otros antecedentes. Esto ayuda a distinguir esta situación de la conducta del litigante aparente. En primer lugar, la calificación de la reserva de la identidad de dichos profesionales obedece a razones diplomáticas y de seguridad nacional:</w:t>
      </w:r>
    </w:p>
    <w:p w14:paraId="727ACC8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“Que de los autos tenidos a la vista aparece que formulada la petición de acceso a la información [...] fue respondida por la Dirección Nacional de Fronteras y Límites del Estado [...] denegándola en razón de que concurren las causales de reserva establecidas en el artículo 21 Nº 1 letra a) y Nº 4 de la Ley de Transparencia, toda vez que: no puede exponer los nombres y honorarios de los juristas que ha representado al Estado de Chile,y que continuarán en dicha función hasta que el proceso esté judicialmente terminado, habida cuenta de la existencia de obligaciones internacionales derivadas de los tratados vigentes que se lo impiden. En efecto, los trabajos de dicho equipo se encuentran en pleno desarrollo, los que se refieren a la soberanía nacional y los límites del país, cuyo resguardo ante terceros constituye un derecho fundamental del Estado. A su vez, el Ministro de Relaciones Exteriores expresó, al presentar sus descargos ante el Consejo para la Transparencia, que en la situación actual, la información que se solicita corresponde a una materia que es prerrogativa de los Estados y respecto de la cual, cada parte mantiene reserva; puesto que si se hicieran públicos, generarían desigualdades entre los Gobiernos, así como vulnerabilidades en la defensa del país ante la Corte Internacional de Justicia, al darse a conocer un aspecto central de la estrategia de la defensa en un casos ometido por otro Estado, el Perú, ante un tribunal internacional. Que de la debida inteligencia de los antecedentes reproducidos [...] es posible inferir que un organismo técnico del Ministerio de Relaciones Exteriores, dependiente del Ministro del ramo, vale decir, del colaborador inmediato del Presidente de la República en el ejercicio de sus atribuciones relacionadas con la conducción de las relaciones internacionales del país, expidió una Resolución Exenta mediante la cual concluyó, tras efectuar una apreciación de la afectación que la publicidad de la información materia de autos podría causar en el interés nacional, particularmente en las relaciones internacionales de la República, que en el caso en examen concurre y es aplicable la causal de secreto o reserva prevista en último lugar del artículo 8º de la Carta Fundamental, calificación que después sostuvo el Ministro de Relaciones Exteriores” (considerandos 9.° y 10.°).</w:t>
      </w:r>
    </w:p>
    <w:p w14:paraId="6C058AF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segundo lugar, la calificación de reserva no alcanza a la identidad del cliente, el Estado de Chile, sino que a las comunicaciones y documentos intercambiados en el contexto de una relación abogado-cliente. Esto, además, se encuentra recogido en una regla expresa del Estatuto de la Corte Internacional de Justicia de La Haya:</w:t>
      </w:r>
    </w:p>
    <w:p w14:paraId="2BB04466"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estas condiciones resulta indudable que el artículo 42.3 del Estatuto citado establece, al disponer que los abogados de las partes que actúan ante la Corte de La Haya gozarán de los privilegios e inmunidades necesarios para el libre desempeño de sus funciones , un derecho que, por aplicación de la Resolución Nº 90 de la Asamblea General de Naciones Unidas citada más arriba, debe ser entendido a la luz de la Convención general sobre prerrogativas e inmunidades de las Naciones Unidas, y en particular de su artículo IV sección 11, la que otorga inviolabilidad a todo papel o documento del profesional respectivo, de lo que se deriva que el cliente de esa relación, vale decir, el Estado de Chile, se halla sujeto a un deber de reserva que le impide dar a conocer el contenido, entre otros documentos, de los contratos suscritos por él con los abogados que lo representan ante ese tribunal internacional, instrumentos en los que constan los datos de que se trata” (considerando 15.°).</w:t>
      </w:r>
    </w:p>
    <w:p w14:paraId="243CD8D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síntesis: el deber de confidencialidad y la exención del secreto profesional, no pueden concebirse como una forma de abusar de los procedimientos, o de vulnerar las garantías procesales y el respeto debido a la contraparte. Veamos ahora qué ha dicho el Tribunal de Ética del Colegio de Abogados de Chile A.G. sobre esta materia a la luz del </w:t>
      </w:r>
      <w:r w:rsidRPr="000B76A6">
        <w:rPr>
          <w:rFonts w:ascii="Verdana" w:eastAsia="Times New Roman" w:hAnsi="Verdana" w:cs="Times New Roman"/>
          <w:i/>
          <w:iCs/>
          <w:color w:val="000000"/>
          <w:sz w:val="20"/>
          <w:szCs w:val="20"/>
          <w:lang w:eastAsia="es-EC"/>
        </w:rPr>
        <w:t>Código de Ética Profesional</w:t>
      </w:r>
      <w:r w:rsidRPr="000B76A6">
        <w:rPr>
          <w:rFonts w:ascii="Verdana" w:eastAsia="Times New Roman" w:hAnsi="Verdana" w:cs="Times New Roman"/>
          <w:color w:val="000000"/>
          <w:sz w:val="20"/>
          <w:szCs w:val="20"/>
          <w:lang w:eastAsia="es-EC"/>
        </w:rPr>
        <w:t> de 2011.</w:t>
      </w:r>
    </w:p>
    <w:p w14:paraId="4D579D8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8" w:name="idm579"/>
      <w:bookmarkEnd w:id="28"/>
      <w:r w:rsidRPr="000B76A6">
        <w:rPr>
          <w:rFonts w:ascii="Verdana" w:eastAsia="Times New Roman" w:hAnsi="Verdana" w:cs="Times New Roman"/>
          <w:b/>
          <w:bCs/>
          <w:color w:val="000000"/>
          <w:sz w:val="20"/>
          <w:szCs w:val="20"/>
          <w:lang w:eastAsia="es-EC"/>
        </w:rPr>
        <w:t>4. Identidad del cliente y secreto profesional para el Tribunal de Ética del Colegio de Abogados de Chile A.G.</w:t>
      </w:r>
    </w:p>
    <w:p w14:paraId="354218D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Hay una sentencia del Tribunal de Ética (2019) del Colegio de Abogados de Chile A.G. que es aquí interesante. Se pronuncia en una causa que se inició luego de que el Colegio de Abogados de Chile A.G. recibiera un oficio de la jueza del 4.° Juzgado de Garantía de Santiago. Dicho oficio relataba los siguientes hechos:</w:t>
      </w:r>
    </w:p>
    <w:p w14:paraId="43BF7B5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día 25 de abril de 2016 dicha jueza encabezaba una audiencia de control de detención en una causa seguida en contra de X. Al verificar la causa, la jueza se da cuenta que X había sido controlado el día anterior, esto es, el día 24 de abril de 2016, y que en ese momento el detenido había entregado el nombre Y (no X), y había exhibido una cédula de identidad cuya fotografía no correspondía a la del Registro Civil (es decir, no correspondía con la del “informe biométrico”). Asimismo, se informa que no se había podido comprobar fehacientemente la identidad porque, siendo un día domingo, no fue posible tomar las huellas dactilares del detenido para su debida identificación. En esa misma audiencia, que tuvo que ampliarse para el día siguiente por no haber certeza sobre la identidad del detenido, éste había constituido patrocinio y conferido poder al abogado Z.</w:t>
      </w:r>
    </w:p>
    <w:p w14:paraId="23EBC24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Al día siguiente, en la audiencia de fecha 25 de abril de 2016, se pudo comprobar finalmente la identidad del detenido, que era X. En esta audiencia, X constituyó patrocinio y confirió poder al mismo abogado Z. Acto seguido, la jueza constató el hecho de que X tenía órdenes de detención pendientes en otras dos causas criminales y que su abogado defensor en ellas también era Z. Esto probaba que en la audiencia de 24 de abril de 2016 el abogado Z había aceptado un patrocinio y poder –y actuado conforme a ellos– a sabiendas de que quien se los daba ocultaba su identidad. Junto con enviar los antecedentes al Ministerio Público, la jueza también los envió al Colegio de Abogados de Chile A.G. Un procedimiento disciplinario se inició, entonces, contra Z.</w:t>
      </w:r>
    </w:p>
    <w:p w14:paraId="2687DE9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Este abogado señaló en su defensa:</w:t>
      </w:r>
    </w:p>
    <w:p w14:paraId="457298A0"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“Al día siguiente se estableció definitivamente su nombre real, y SS [Su Señoría], señaló que este abogado conocía la identidad real, lo cual es así, pero en mi entender no estaba cometiendo una infracción ética, sino que protegiendo a mi cliente, a quien he representado en diversas oportunidades, entendiendo que era más fuerte el secreto profesional” (considerando 20.°).</w:t>
      </w:r>
    </w:p>
    <w:p w14:paraId="5856093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Tribunal de Ética desestimó este argumento de la siguiente manera:</w:t>
      </w:r>
    </w:p>
    <w:p w14:paraId="77AB792F"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 la identidad del imputado no puede considerarse como un ‘ </w:t>
      </w:r>
      <w:r w:rsidRPr="000B76A6">
        <w:rPr>
          <w:rFonts w:ascii="Verdana" w:eastAsia="Times New Roman" w:hAnsi="Verdana" w:cs="Times New Roman"/>
          <w:i/>
          <w:iCs/>
          <w:color w:val="000000"/>
          <w:sz w:val="20"/>
          <w:szCs w:val="20"/>
          <w:lang w:eastAsia="es-EC"/>
        </w:rPr>
        <w:t>asunto del cliente</w:t>
      </w:r>
      <w:r w:rsidRPr="000B76A6">
        <w:rPr>
          <w:rFonts w:ascii="Verdana" w:eastAsia="Times New Roman" w:hAnsi="Verdana" w:cs="Times New Roman"/>
          <w:color w:val="000000"/>
          <w:sz w:val="20"/>
          <w:szCs w:val="20"/>
          <w:lang w:eastAsia="es-EC"/>
        </w:rPr>
        <w:t> ’ protegido por el deber de confidencialidad. Por el contrario, la identidad del señor [X] era información accesible y exigible por el Juzgado de Garantía a efectos de llevar a cabo el control de detención, tanto así que pudo ser fácilmente verificada una vez que estuvo disponible el sistema biométrico. En tales circunstancias, resulta inverosímil que, con su omisión, el Reclamado haya tenido la expectativa de proteger a su cliente. Se trató más bien de una conducta puramente dilatoria, consentida por el Reclamado, que sólo derivó en el aplazamiento del control de detención, afectando el correcto funcionamiento del Juzgado de Garantía” (considerandos 25.° y 26.°).</w:t>
      </w:r>
    </w:p>
    <w:p w14:paraId="0854FED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Para terminar así:</w:t>
      </w:r>
    </w:p>
    <w:p w14:paraId="3FC1D7EC"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virtud de lo señalado, este Tribunal de Ética estima que en las circunstancias descritas el Reclamado no estaba amparado por el secreto profesional. En contraste, los artículos 2,5, 93, 95 y 96 del Código de Ética le imponían un deber de actuar con honradez y buena fe, procurando colaborar con la correcta y eficaz administración de justicia. Estas normas fueron infringidas por el Reclamado, quien, como se ha dicho, consintió en que su cliente proporcionara información falsa, con el único afán de dilatar una actuación judicial” (considerando 27°).</w:t>
      </w:r>
    </w:p>
    <w:p w14:paraId="0A8553B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Tribunal de Ética del Colegio de Abogados de Chile A.G. ha sostenido, entonces, que bajo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 la identidad del cliente no está amparada por el secreto profesional. En esto se ha seguido la línea jurisprudencial iniciada bajo 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w:t>
      </w:r>
    </w:p>
    <w:p w14:paraId="37E8C12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Antes de concluir, en lo que a continuación sigue, observaremos la legislación que en Chile regula la comparecencia en juicio a fin de determinar si algo en ella autorizaría al litigante aparente.</w:t>
      </w:r>
    </w:p>
    <w:p w14:paraId="77461DA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29" w:name="idm598"/>
      <w:bookmarkEnd w:id="29"/>
      <w:r w:rsidRPr="000B76A6">
        <w:rPr>
          <w:rFonts w:ascii="Verdana" w:eastAsia="Times New Roman" w:hAnsi="Verdana" w:cs="Times New Roman"/>
          <w:b/>
          <w:bCs/>
          <w:color w:val="000000"/>
          <w:sz w:val="20"/>
          <w:szCs w:val="20"/>
          <w:lang w:eastAsia="es-EC"/>
        </w:rPr>
        <w:t>V. LA LEGISLACIÓN SOBRE COMPARECENCIA EN JUICIO</w:t>
      </w:r>
    </w:p>
    <w:p w14:paraId="57EC638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comparecencia en juicio está regulada por las siguientes reglas legislativas:</w:t>
      </w:r>
    </w:p>
    <w:p w14:paraId="22B27C5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395° del </w:t>
      </w:r>
      <w:r w:rsidRPr="000B76A6">
        <w:rPr>
          <w:rFonts w:ascii="Verdana" w:eastAsia="Times New Roman" w:hAnsi="Verdana" w:cs="Times New Roman"/>
          <w:i/>
          <w:iCs/>
          <w:color w:val="000000"/>
          <w:sz w:val="20"/>
          <w:szCs w:val="20"/>
          <w:lang w:eastAsia="es-EC"/>
        </w:rPr>
        <w:t>COT</w:t>
      </w:r>
      <w:r w:rsidRPr="000B76A6">
        <w:rPr>
          <w:rFonts w:ascii="Verdana" w:eastAsia="Times New Roman" w:hAnsi="Verdana" w:cs="Times New Roman"/>
          <w:color w:val="000000"/>
          <w:sz w:val="20"/>
          <w:szCs w:val="20"/>
          <w:lang w:eastAsia="es-EC"/>
        </w:rPr>
        <w:t> en el caso de los procuradores del número:</w:t>
      </w:r>
    </w:p>
    <w:p w14:paraId="34582690"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acto por el cual una parte encomienda a un procurador la representación de sus derechos en juicio, es un mandato que se regirá por las reglas establecidas en el Código Civil para los contratos de esta clase [...]”.</w:t>
      </w:r>
    </w:p>
    <w:p w14:paraId="34CC34C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lo mismo repite su art. 528.º en relación con los abogados:</w:t>
      </w:r>
    </w:p>
    <w:p w14:paraId="1912C28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acto por el cual una persona encomienda a un abogado la defensa de sus derechos en juicio, es un mandato, que se halla sujeto a las reglas establecidas en el Código Civil sobre los contratos de esta clase [...]”.</w:t>
      </w:r>
    </w:p>
    <w:p w14:paraId="7FBD093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art. 6.º del </w:t>
      </w:r>
      <w:r w:rsidRPr="000B76A6">
        <w:rPr>
          <w:rFonts w:ascii="Verdana" w:eastAsia="Times New Roman" w:hAnsi="Verdana" w:cs="Times New Roman"/>
          <w:i/>
          <w:iCs/>
          <w:color w:val="000000"/>
          <w:sz w:val="20"/>
          <w:szCs w:val="20"/>
          <w:lang w:eastAsia="es-EC"/>
        </w:rPr>
        <w:t>CPC</w:t>
      </w:r>
      <w:r w:rsidRPr="000B76A6">
        <w:rPr>
          <w:rFonts w:ascii="Verdana" w:eastAsia="Times New Roman" w:hAnsi="Verdana" w:cs="Times New Roman"/>
          <w:color w:val="000000"/>
          <w:sz w:val="20"/>
          <w:szCs w:val="20"/>
          <w:lang w:eastAsia="es-EC"/>
        </w:rPr>
        <w:t> , por su parte, dispone al respecto:</w:t>
      </w:r>
    </w:p>
    <w:p w14:paraId="12172C7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que comparezca en juicio a nombre de otro, en desempeño de un mandato o en ejercicio de un cargo que requiera especial nombramiento, </w:t>
      </w:r>
      <w:r w:rsidRPr="000B76A6">
        <w:rPr>
          <w:rFonts w:ascii="Verdana" w:eastAsia="Times New Roman" w:hAnsi="Verdana" w:cs="Times New Roman"/>
          <w:i/>
          <w:iCs/>
          <w:color w:val="000000"/>
          <w:sz w:val="20"/>
          <w:szCs w:val="20"/>
          <w:lang w:eastAsia="es-EC"/>
        </w:rPr>
        <w:t>deberá exhibir el título que acredite su representación”</w:t>
      </w:r>
      <w:r w:rsidRPr="000B76A6">
        <w:rPr>
          <w:rFonts w:ascii="Verdana" w:eastAsia="Times New Roman" w:hAnsi="Verdana" w:cs="Times New Roman"/>
          <w:color w:val="000000"/>
          <w:sz w:val="20"/>
          <w:szCs w:val="20"/>
          <w:lang w:eastAsia="es-EC"/>
        </w:rPr>
        <w:t> (inciso 1.º, énfasis agregado).</w:t>
      </w:r>
    </w:p>
    <w:p w14:paraId="1E12A98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Esta regla contempla una excepción en su inciso 3.º, que es relevante para la materia de este informe:</w:t>
      </w:r>
    </w:p>
    <w:p w14:paraId="4CFE6C05"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“Podrá, sin embargo, admitirse la comparecencia al juicio de una persona que obre sin poder en beneficio de otra, </w:t>
      </w:r>
      <w:r w:rsidRPr="000B76A6">
        <w:rPr>
          <w:rFonts w:ascii="Verdana" w:eastAsia="Times New Roman" w:hAnsi="Verdana" w:cs="Times New Roman"/>
          <w:i/>
          <w:iCs/>
          <w:color w:val="000000"/>
          <w:sz w:val="20"/>
          <w:szCs w:val="20"/>
          <w:lang w:eastAsia="es-EC"/>
        </w:rPr>
        <w:t>con tal que ofrezca garantía de que el interesado</w:t>
      </w:r>
      <w:r w:rsidRPr="000B76A6">
        <w:rPr>
          <w:rFonts w:ascii="Verdana" w:eastAsia="Times New Roman" w:hAnsi="Verdana" w:cs="Times New Roman"/>
          <w:color w:val="000000"/>
          <w:sz w:val="20"/>
          <w:szCs w:val="20"/>
          <w:lang w:eastAsia="es-EC"/>
        </w:rPr>
        <w:t> aprobará lo que se haya obrado en su nombre. El tribunal, para aceptar la </w:t>
      </w:r>
      <w:r w:rsidRPr="000B76A6">
        <w:rPr>
          <w:rFonts w:ascii="Verdana" w:eastAsia="Times New Roman" w:hAnsi="Verdana" w:cs="Times New Roman"/>
          <w:i/>
          <w:iCs/>
          <w:color w:val="000000"/>
          <w:sz w:val="20"/>
          <w:szCs w:val="20"/>
          <w:lang w:eastAsia="es-EC"/>
        </w:rPr>
        <w:t>representación</w:t>
      </w:r>
      <w:r w:rsidRPr="000B76A6">
        <w:rPr>
          <w:rFonts w:ascii="Verdana" w:eastAsia="Times New Roman" w:hAnsi="Verdana" w:cs="Times New Roman"/>
          <w:color w:val="000000"/>
          <w:sz w:val="20"/>
          <w:szCs w:val="20"/>
          <w:lang w:eastAsia="es-EC"/>
        </w:rPr>
        <w:t> , calificará las circunstancias del caso y la garantía ofrecida, y fijará un plazo para la ratificación del interesado” (énfasis agregado).</w:t>
      </w:r>
    </w:p>
    <w:p w14:paraId="5782DCB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Excepcionalmente, ella autoriza la comparecencia sin representación, pero bajo el supuesto que el compareciente revele desde el inicio el hecho de que el interés que activa el proceso es de un tercero cuya existencia, por lo mismo,debe ser revelada. Es decir, debe comunicarse que es un mandato sin representación, algo que, precisamente, no hace quien dice litigar a nombre propio, en circunstancias que, en realidad, el interés es de un tercero.</w:t>
      </w:r>
    </w:p>
    <w:p w14:paraId="5259938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Por su parte, la Ley n.º 18120, que establece normas sobre comparecencia en juicio, no difiere de las reglas ya citadas:</w:t>
      </w:r>
    </w:p>
    <w:p w14:paraId="517E3780"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“Artículo 2°.Ninguna persona, salvo en los casos de excepción contemplados en este artículo, o cuando la ley exija la intervención personal de la parte, podrá comparecer en los asuntos y ante los tribunales a que se refiere el inciso primero del artículo anterior, sino </w:t>
      </w:r>
      <w:r w:rsidRPr="000B76A6">
        <w:rPr>
          <w:rFonts w:ascii="Verdana" w:eastAsia="Times New Roman" w:hAnsi="Verdana" w:cs="Times New Roman"/>
          <w:i/>
          <w:iCs/>
          <w:color w:val="000000"/>
          <w:sz w:val="20"/>
          <w:szCs w:val="20"/>
          <w:lang w:eastAsia="es-EC"/>
        </w:rPr>
        <w:t>representada</w:t>
      </w:r>
      <w:r w:rsidRPr="000B76A6">
        <w:rPr>
          <w:rFonts w:ascii="Verdana" w:eastAsia="Times New Roman" w:hAnsi="Verdana" w:cs="Times New Roman"/>
          <w:color w:val="000000"/>
          <w:sz w:val="20"/>
          <w:szCs w:val="20"/>
          <w:lang w:eastAsia="es-EC"/>
        </w:rPr>
        <w:t> por un abogado habilitado para el ejercicio de la profesión, por procurador del número, por estudiante actualmente inscrito en tercero, cuarto o quinto año de las Escuelas de Derecho de las Facultades de Ciencias Jurídicas y Sociales de alguna de las universidades autorizadas, o por egresado de esas mis-mas escuelas hasta tres años después de haber rendido los exámenes correspondientes” (énfasis agregado).</w:t>
      </w:r>
    </w:p>
    <w:p w14:paraId="72241AF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algunas legislaciones más recientes enfatizan la necesidad de litigar de buena fe. Y buena fe en la litigación, como argumentamos en este informe, es antónimo de litigación aparente. La Ley n.º 20886, por ejemplo, que modifica el </w:t>
      </w:r>
      <w:r w:rsidRPr="000B76A6">
        <w:rPr>
          <w:rFonts w:ascii="Verdana" w:eastAsia="Times New Roman" w:hAnsi="Verdana" w:cs="Times New Roman"/>
          <w:i/>
          <w:iCs/>
          <w:color w:val="000000"/>
          <w:sz w:val="20"/>
          <w:szCs w:val="20"/>
          <w:lang w:eastAsia="es-EC"/>
        </w:rPr>
        <w:t>CPC</w:t>
      </w:r>
      <w:r w:rsidRPr="000B76A6">
        <w:rPr>
          <w:rFonts w:ascii="Verdana" w:eastAsia="Times New Roman" w:hAnsi="Verdana" w:cs="Times New Roman"/>
          <w:color w:val="000000"/>
          <w:sz w:val="20"/>
          <w:szCs w:val="20"/>
          <w:lang w:eastAsia="es-EC"/>
        </w:rPr>
        <w:t> , para establecer la tramitación digital de los procedimientos judiciales, dispone:</w:t>
      </w:r>
    </w:p>
    <w:p w14:paraId="6E2A698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2º. Principios. La tramitación de las causas regidas por la presente ley se sujetará a los siguientes principios generales:</w:t>
      </w:r>
    </w:p>
    <w:p w14:paraId="6C1FB2D0"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d) Principio de buena fe. Las partes, sus apoderados y todos quienes intervengan en el proceso conforme al sistema informático de tramitación deberán actuar de buena fe.</w:t>
      </w:r>
    </w:p>
    <w:p w14:paraId="171BD41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El juez, de oficio o a petición de parte, deberá prevenir, corregir y sancionar, según corresponda, toda acción u omisión que importe un fraude o abuso procesal, contravención de actos propios o cualquiera otra conducta ilícita, dilatoria o de cualquier otro modo contraria a la buena fe” (inciso final) </w:t>
      </w:r>
      <w:hyperlink r:id="rId59" w:anchor="fn45" w:history="1">
        <w:r w:rsidRPr="000B76A6">
          <w:rPr>
            <w:rFonts w:ascii="Verdana" w:eastAsia="Times New Roman" w:hAnsi="Verdana" w:cs="Times New Roman"/>
            <w:color w:val="0000FF"/>
            <w:sz w:val="20"/>
            <w:szCs w:val="20"/>
            <w:u w:val="single"/>
            <w:vertAlign w:val="superscript"/>
            <w:lang w:eastAsia="es-EC"/>
          </w:rPr>
          <w:t>45</w:t>
        </w:r>
      </w:hyperlink>
      <w:r w:rsidRPr="000B76A6">
        <w:rPr>
          <w:rFonts w:ascii="Verdana" w:eastAsia="Times New Roman" w:hAnsi="Verdana" w:cs="Times New Roman"/>
          <w:color w:val="000000"/>
          <w:sz w:val="20"/>
          <w:szCs w:val="20"/>
          <w:lang w:eastAsia="es-EC"/>
        </w:rPr>
        <w:t> .</w:t>
      </w:r>
    </w:p>
    <w:p w14:paraId="21A554C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Y, en un sentido análogo, el </w:t>
      </w:r>
      <w:r w:rsidRPr="000B76A6">
        <w:rPr>
          <w:rFonts w:ascii="Verdana" w:eastAsia="Times New Roman" w:hAnsi="Verdana" w:cs="Times New Roman"/>
          <w:i/>
          <w:iCs/>
          <w:color w:val="000000"/>
          <w:sz w:val="20"/>
          <w:szCs w:val="20"/>
          <w:lang w:eastAsia="es-EC"/>
        </w:rPr>
        <w:t>Código del Trabajo</w:t>
      </w:r>
      <w:r w:rsidRPr="000B76A6">
        <w:rPr>
          <w:rFonts w:ascii="Verdana" w:eastAsia="Times New Roman" w:hAnsi="Verdana" w:cs="Times New Roman"/>
          <w:color w:val="000000"/>
          <w:sz w:val="20"/>
          <w:szCs w:val="20"/>
          <w:lang w:eastAsia="es-EC"/>
        </w:rPr>
        <w:t> :</w:t>
      </w:r>
    </w:p>
    <w:p w14:paraId="5EB2DE0A"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425º inciso primero. Los procedimientos del trabajo serán orales, públicos y concentrados. Primarán en ellos los principios de la inmediación, impulso procesal de oficio, celeridad, </w:t>
      </w:r>
      <w:r w:rsidRPr="000B76A6">
        <w:rPr>
          <w:rFonts w:ascii="Verdana" w:eastAsia="Times New Roman" w:hAnsi="Verdana" w:cs="Times New Roman"/>
          <w:i/>
          <w:iCs/>
          <w:color w:val="000000"/>
          <w:sz w:val="20"/>
          <w:szCs w:val="20"/>
          <w:lang w:eastAsia="es-EC"/>
        </w:rPr>
        <w:t>buena fe</w:t>
      </w:r>
      <w:r w:rsidRPr="000B76A6">
        <w:rPr>
          <w:rFonts w:ascii="Verdana" w:eastAsia="Times New Roman" w:hAnsi="Verdana" w:cs="Times New Roman"/>
          <w:color w:val="000000"/>
          <w:sz w:val="20"/>
          <w:szCs w:val="20"/>
          <w:lang w:eastAsia="es-EC"/>
        </w:rPr>
        <w:t> , bilateralidad de la audiencia y gratuidad (énfasis agregado).</w:t>
      </w:r>
    </w:p>
    <w:p w14:paraId="0EFD0DD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430º inciso primero. Los actos procesales deberán ejecutarse de </w:t>
      </w:r>
      <w:r w:rsidRPr="000B76A6">
        <w:rPr>
          <w:rFonts w:ascii="Verdana" w:eastAsia="Times New Roman" w:hAnsi="Verdana" w:cs="Times New Roman"/>
          <w:i/>
          <w:iCs/>
          <w:color w:val="000000"/>
          <w:sz w:val="20"/>
          <w:szCs w:val="20"/>
          <w:lang w:eastAsia="es-EC"/>
        </w:rPr>
        <w:t>buena fe</w:t>
      </w:r>
      <w:r w:rsidRPr="000B76A6">
        <w:rPr>
          <w:rFonts w:ascii="Verdana" w:eastAsia="Times New Roman" w:hAnsi="Verdana" w:cs="Times New Roman"/>
          <w:color w:val="000000"/>
          <w:sz w:val="20"/>
          <w:szCs w:val="20"/>
          <w:lang w:eastAsia="es-EC"/>
        </w:rPr>
        <w:t> , facultándose al tribunal para adoptar las medidas necesarias para impedir el </w:t>
      </w:r>
      <w:r w:rsidRPr="000B76A6">
        <w:rPr>
          <w:rFonts w:ascii="Verdana" w:eastAsia="Times New Roman" w:hAnsi="Verdana" w:cs="Times New Roman"/>
          <w:i/>
          <w:iCs/>
          <w:color w:val="000000"/>
          <w:sz w:val="20"/>
          <w:szCs w:val="20"/>
          <w:lang w:eastAsia="es-EC"/>
        </w:rPr>
        <w:t>fraude</w:t>
      </w:r>
      <w:r w:rsidRPr="000B76A6">
        <w:rPr>
          <w:rFonts w:ascii="Verdana" w:eastAsia="Times New Roman" w:hAnsi="Verdana" w:cs="Times New Roman"/>
          <w:color w:val="000000"/>
          <w:sz w:val="20"/>
          <w:szCs w:val="20"/>
          <w:lang w:eastAsia="es-EC"/>
        </w:rPr>
        <w:t> , la colusión, el abuso del derecho y las actuaciones dilatorias” (énfasis agregado).</w:t>
      </w:r>
    </w:p>
    <w:p w14:paraId="1D097DC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Podría pensarse que la legislación procesal penal podría admitir la figura del litigante aparente. Por el ejemplo, el art. 92 del </w:t>
      </w:r>
      <w:r w:rsidRPr="000B76A6">
        <w:rPr>
          <w:rFonts w:ascii="Verdana" w:eastAsia="Times New Roman" w:hAnsi="Verdana" w:cs="Times New Roman"/>
          <w:i/>
          <w:iCs/>
          <w:color w:val="000000"/>
          <w:sz w:val="20"/>
          <w:szCs w:val="20"/>
          <w:lang w:eastAsia="es-EC"/>
        </w:rPr>
        <w:t>Código Procesal Penal</w:t>
      </w:r>
      <w:r w:rsidRPr="000B76A6">
        <w:rPr>
          <w:rFonts w:ascii="Verdana" w:eastAsia="Times New Roman" w:hAnsi="Verdana" w:cs="Times New Roman"/>
          <w:color w:val="000000"/>
          <w:sz w:val="20"/>
          <w:szCs w:val="20"/>
          <w:lang w:eastAsia="es-EC"/>
        </w:rPr>
        <w:t> dispone:</w:t>
      </w:r>
    </w:p>
    <w:p w14:paraId="102BE2E3"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“Prohibición de informar. Los funcionarios policiales no podrán informar a los medios de comunicación social acerca de la identidad de detenidos, imputados, víctimas, testigos, ni de otras personas que se encontraren o pudieren resultar vinculadas a la investigación de un hecho punible”.</w:t>
      </w:r>
    </w:p>
    <w:p w14:paraId="7EABE7E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Sin embargo, como resulta evidente tras una lectura detenida de esta regla, no se trata de una admisión legislativa del litigante aparente, sino que de una prohibición de informar a los medios de comunicación de ciertas identidades. La litigación aparente encubre la identidad de un actor frente al tribunal y la contraparte. Ninguna prohibición de informar en materia penal abarca semejante extensión. Por el contrario, el tribunal penal –como cualquier tribunal– debe saber con exactitud quiénes comparecen ante él.</w:t>
      </w:r>
    </w:p>
    <w:p w14:paraId="23EC165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síntesis, la legislación chilena aplicable a la materia de este informe no autoriza la litigación aparente, y algunas de sus disposiciones como, por ejemplo, el art. 6.º del </w:t>
      </w:r>
      <w:r w:rsidRPr="000B76A6">
        <w:rPr>
          <w:rFonts w:ascii="Verdana" w:eastAsia="Times New Roman" w:hAnsi="Verdana" w:cs="Times New Roman"/>
          <w:i/>
          <w:iCs/>
          <w:color w:val="000000"/>
          <w:sz w:val="20"/>
          <w:szCs w:val="20"/>
          <w:lang w:eastAsia="es-EC"/>
        </w:rPr>
        <w:t>CPC</w:t>
      </w:r>
      <w:r w:rsidRPr="000B76A6">
        <w:rPr>
          <w:rFonts w:ascii="Verdana" w:eastAsia="Times New Roman" w:hAnsi="Verdana" w:cs="Times New Roman"/>
          <w:color w:val="000000"/>
          <w:sz w:val="20"/>
          <w:szCs w:val="20"/>
          <w:lang w:eastAsia="es-EC"/>
        </w:rPr>
        <w:t> , parecen prohibirla. Tal como lo hace la regulación ética-profesional. Puesto que, como se discutió en la preparación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 sobre la conducta procesal que deben observar los abogados, la reforma:</w:t>
      </w:r>
    </w:p>
    <w:p w14:paraId="33218223" w14:textId="77777777" w:rsidR="000B76A6" w:rsidRPr="000B76A6" w:rsidRDefault="000B76A6" w:rsidP="000B76A6">
      <w:pPr>
        <w:shd w:val="clear" w:color="auto" w:fill="FFFFFF"/>
        <w:spacing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 debiera ser al menos compatible con la creación de un contexto para la toma de decisiones judiciales, que sea especialmente favorable a la imparcialidad de los jueces y a la disponibilidad de éstos de un buen nivel de información acerca de cada caso que deba ser resuelto” </w:t>
      </w:r>
      <w:hyperlink r:id="rId60" w:anchor="fn46" w:history="1">
        <w:r w:rsidRPr="000B76A6">
          <w:rPr>
            <w:rFonts w:ascii="Verdana" w:eastAsia="Times New Roman" w:hAnsi="Verdana" w:cs="Times New Roman"/>
            <w:color w:val="0000FF"/>
            <w:sz w:val="20"/>
            <w:szCs w:val="20"/>
            <w:u w:val="single"/>
            <w:vertAlign w:val="superscript"/>
            <w:lang w:eastAsia="es-EC"/>
          </w:rPr>
          <w:t>46</w:t>
        </w:r>
      </w:hyperlink>
      <w:r w:rsidRPr="000B76A6">
        <w:rPr>
          <w:rFonts w:ascii="Verdana" w:eastAsia="Times New Roman" w:hAnsi="Verdana" w:cs="Times New Roman"/>
          <w:color w:val="000000"/>
          <w:sz w:val="20"/>
          <w:szCs w:val="20"/>
          <w:lang w:eastAsia="es-EC"/>
        </w:rPr>
        <w:t> .</w:t>
      </w:r>
    </w:p>
    <w:p w14:paraId="278A489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esa discusión se identificó como una de las formas de litigar que necesitaban una orientación ética la de: “utilizar el juicio como herramienta de presión para la obtención de beneficios diferentes a los directamente demandados” </w:t>
      </w:r>
      <w:hyperlink r:id="rId61" w:anchor="fn47" w:history="1">
        <w:r w:rsidRPr="000B76A6">
          <w:rPr>
            <w:rFonts w:ascii="Verdana" w:eastAsia="Times New Roman" w:hAnsi="Verdana" w:cs="Times New Roman"/>
            <w:color w:val="0000FF"/>
            <w:sz w:val="20"/>
            <w:szCs w:val="20"/>
            <w:u w:val="single"/>
            <w:vertAlign w:val="superscript"/>
            <w:lang w:eastAsia="es-EC"/>
          </w:rPr>
          <w:t>47</w:t>
        </w:r>
      </w:hyperlink>
      <w:r w:rsidRPr="000B76A6">
        <w:rPr>
          <w:rFonts w:ascii="Verdana" w:eastAsia="Times New Roman" w:hAnsi="Verdana" w:cs="Times New Roman"/>
          <w:color w:val="000000"/>
          <w:sz w:val="20"/>
          <w:szCs w:val="20"/>
          <w:lang w:eastAsia="es-EC"/>
        </w:rPr>
        <w:t> . El litigante que aparenta un interés propio para encubrir el real de un tercero, implica, por sí mismo, esa separación entre los beneficios buscados y los demandados. No debe sorprender, entonces, que la ley no le dé cabida.</w:t>
      </w:r>
    </w:p>
    <w:p w14:paraId="7F0F9474" w14:textId="77777777" w:rsidR="000B76A6" w:rsidRPr="000B76A6" w:rsidRDefault="000B76A6" w:rsidP="000B76A6">
      <w:pPr>
        <w:shd w:val="clear" w:color="auto" w:fill="FFFFFF"/>
        <w:spacing w:before="600" w:after="100" w:afterAutospacing="1" w:line="240" w:lineRule="auto"/>
        <w:rPr>
          <w:rFonts w:ascii="Verdana" w:eastAsia="Times New Roman" w:hAnsi="Verdana" w:cs="Times New Roman"/>
          <w:b/>
          <w:bCs/>
          <w:caps/>
          <w:color w:val="000000"/>
          <w:sz w:val="24"/>
          <w:szCs w:val="24"/>
          <w:lang w:eastAsia="es-EC"/>
        </w:rPr>
      </w:pPr>
      <w:bookmarkStart w:id="30" w:name="idm652"/>
      <w:bookmarkEnd w:id="30"/>
      <w:r w:rsidRPr="000B76A6">
        <w:rPr>
          <w:rFonts w:ascii="Verdana" w:eastAsia="Times New Roman" w:hAnsi="Verdana" w:cs="Times New Roman"/>
          <w:b/>
          <w:bCs/>
          <w:caps/>
          <w:color w:val="000000"/>
          <w:sz w:val="24"/>
          <w:szCs w:val="24"/>
          <w:lang w:eastAsia="es-EC"/>
        </w:rPr>
        <w:t>CONCLUSIÓN</w:t>
      </w:r>
    </w:p>
    <w:p w14:paraId="13BF30E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La regulación ético-profesional de la abogacía en Chile proscribe la litigación aparente. No lo hace en forma expresa, pero de un conjunto de sus disposiciones no se puede sino concluir que ella está prohibida. Se trata de un bloque normativo compuesto por los arts. 95.º, 96.º, 106.º, 2.º, 5.º, 1.º, 25 (g), 8.º, 102.º, 105.º y 23.º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2011. Hay jurisprudencia ético-profesional que, a la luz de este Código, así lo ha determinado. Redactadas de un modo más general, esas disposiciones también formaron parte del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 1948 y hubo jurisprudencia que las aplicó para sancionar litigantes aparentes.</w:t>
      </w:r>
    </w:p>
    <w:p w14:paraId="28C41D6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En esto nuestra regulación ético-profesional se asemeja a la de otras jurisdicciones, que también ven en ella una herramienta para velar por la corrección de los procesos judiciales, para que ellos se desarrollen con las partes en un pie de igualdad, para que se realice una verdadera bilateralidad de la audiencia. La litigación aparente reduce o impide la posibilidad de que ello ocurra.</w:t>
      </w:r>
    </w:p>
    <w:p w14:paraId="06A8F28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Es por esto que no puede entenderse como una conducta justificada por el deber de confidencialidad que pesa sobre los abogados, ni por el secreto profesional que los exime. El hecho de figurar el cliente como demandante no puede tener el efecto de inhibir el flujo de información entre él y su abogado, pero sí tendrá el efecto de privar al proceso de los mecanismos que lo legitiman. Y es por esto, también, que la legislación que ordena la comparecencia ante los tribunales tampoco parece darle cabida alguna.</w:t>
      </w:r>
    </w:p>
    <w:p w14:paraId="1A6DE7E9" w14:textId="77777777" w:rsidR="000B76A6" w:rsidRPr="000B76A6" w:rsidRDefault="000B76A6" w:rsidP="000B76A6">
      <w:pPr>
        <w:shd w:val="clear" w:color="auto" w:fill="FFFFFF"/>
        <w:spacing w:before="600" w:after="100" w:afterAutospacing="1" w:line="240" w:lineRule="auto"/>
        <w:rPr>
          <w:rFonts w:ascii="Verdana" w:eastAsia="Times New Roman" w:hAnsi="Verdana" w:cs="Times New Roman"/>
          <w:b/>
          <w:bCs/>
          <w:caps/>
          <w:color w:val="000000"/>
          <w:sz w:val="24"/>
          <w:szCs w:val="24"/>
          <w:lang w:eastAsia="es-EC"/>
        </w:rPr>
      </w:pPr>
      <w:bookmarkStart w:id="31" w:name="references"/>
      <w:bookmarkEnd w:id="31"/>
      <w:r w:rsidRPr="000B76A6">
        <w:rPr>
          <w:rFonts w:ascii="Verdana" w:eastAsia="Times New Roman" w:hAnsi="Verdana" w:cs="Times New Roman"/>
          <w:b/>
          <w:bCs/>
          <w:caps/>
          <w:color w:val="000000"/>
          <w:sz w:val="24"/>
          <w:szCs w:val="24"/>
          <w:lang w:eastAsia="es-EC"/>
        </w:rPr>
        <w:t>BIBLIOGRAFÍA CITADA</w:t>
      </w:r>
    </w:p>
    <w:p w14:paraId="0566A39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2" w:name="B1"/>
      <w:bookmarkEnd w:id="32"/>
      <w:r w:rsidRPr="000B76A6">
        <w:rPr>
          <w:rFonts w:ascii="Verdana" w:eastAsia="Times New Roman" w:hAnsi="Verdana" w:cs="Times New Roman"/>
          <w:color w:val="000000"/>
          <w:sz w:val="20"/>
          <w:szCs w:val="20"/>
          <w:lang w:eastAsia="es-EC"/>
        </w:rPr>
        <w:t>ANRÍQUEZ NOVOA, Álvaro, Pablo FUENZALIDA CIFUENTES y Lucas SIERRA IRIBARREN (2019). “Ética de la abogacía en Chile: el problema de la regulación”. Debate de Políticas Públicas, n.º 34. Santiago. [ </w:t>
      </w:r>
      <w:hyperlink r:id="rId62"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4D9DEE4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3" w:name="B2"/>
      <w:bookmarkEnd w:id="33"/>
      <w:r w:rsidRPr="000B76A6">
        <w:rPr>
          <w:rFonts w:ascii="Verdana" w:eastAsia="Times New Roman" w:hAnsi="Verdana" w:cs="Times New Roman"/>
          <w:color w:val="000000"/>
          <w:sz w:val="20"/>
          <w:szCs w:val="20"/>
          <w:lang w:eastAsia="es-EC"/>
        </w:rPr>
        <w:t>ANRÍQUEZ NOVOA, Álvaro y Ernesto VARGAS WEIL (2021). “Bases conceptuales para una doctrina del secreto profesional del abogado en Chile”. Revista Chilena de Derecho, vol. 48, n.º 1. Santiago. [ </w:t>
      </w:r>
      <w:hyperlink r:id="rId63"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3ECB1C9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4" w:name="B3"/>
      <w:bookmarkEnd w:id="34"/>
      <w:r w:rsidRPr="000B76A6">
        <w:rPr>
          <w:rFonts w:ascii="Verdana" w:eastAsia="Times New Roman" w:hAnsi="Verdana" w:cs="Times New Roman"/>
          <w:color w:val="000000"/>
          <w:sz w:val="20"/>
          <w:szCs w:val="20"/>
          <w:lang w:eastAsia="es-EC"/>
        </w:rPr>
        <w:t>BARROS BOURIE, Enrique (2014). “Reglas sobre buenas prácticas en la profesión de abogado. Notas a propósito del Código de Ética de 2011 del Colegio de Abogados de Chile”, en Fernando ATRIA et al. (eds.), Una vida en la Universidad de Chile. Celebrando al profesor Antonio Bascuñán Valdés. Santiago: Legal Publishing Chile. [ </w:t>
      </w:r>
      <w:hyperlink r:id="rId64"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1115B8C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5" w:name="B4"/>
      <w:bookmarkEnd w:id="35"/>
      <w:r w:rsidRPr="000B76A6">
        <w:rPr>
          <w:rFonts w:ascii="Verdana" w:eastAsia="Times New Roman" w:hAnsi="Verdana" w:cs="Times New Roman"/>
          <w:color w:val="000000"/>
          <w:sz w:val="20"/>
          <w:szCs w:val="20"/>
          <w:lang w:eastAsia="es-EC"/>
        </w:rPr>
        <w:t>BASCUÑÁN RODRÍGUEZ, Antonio (2011). “Deber de confidencialidad y secreto profesional del abogado”. Revista de Estudios de la Justicia, n.º 15. Santiago. [ </w:t>
      </w:r>
      <w:hyperlink r:id="rId65"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095EB34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6" w:name="B5"/>
      <w:bookmarkEnd w:id="36"/>
      <w:r w:rsidRPr="000B76A6">
        <w:rPr>
          <w:rFonts w:ascii="Verdana" w:eastAsia="Times New Roman" w:hAnsi="Verdana" w:cs="Times New Roman"/>
          <w:color w:val="000000"/>
          <w:sz w:val="20"/>
          <w:szCs w:val="20"/>
          <w:lang w:eastAsia="es-EC"/>
        </w:rPr>
        <w:t>BIBLIOTECA DEL CONGRESO NACIONAL (2018). Historia de la Ley N° 20.886 Modifica el Código de Procedimiento Civil, para establecer la tramitación digital de los procedimientos judiciales. Disponible en www.bcn.cl/historiadelaley/fileadmin/file_ley/4681/HLD_4681_37a6259cc0c1 dae299a7866489dff0bd.pdf [fecha de consulta: 12 de octubre de 2022]. [ </w:t>
      </w:r>
      <w:hyperlink r:id="rId66"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110FECA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7" w:name="B6"/>
      <w:bookmarkEnd w:id="37"/>
      <w:r w:rsidRPr="000B76A6">
        <w:rPr>
          <w:rFonts w:ascii="Verdana" w:eastAsia="Times New Roman" w:hAnsi="Verdana" w:cs="Times New Roman"/>
          <w:color w:val="000000"/>
          <w:sz w:val="20"/>
          <w:szCs w:val="20"/>
          <w:lang w:eastAsia="es-EC"/>
        </w:rPr>
        <w:t>BOZA DIBOS, Beatriz, Christian CHOCANO DAVIS y Mirna SALAS MORON (2019). Código de Ética del Abogado Concordado. Lima: Minjusdh &amp; Derecho PUCP. [ </w:t>
      </w:r>
      <w:hyperlink r:id="rId67"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2AF792C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8" w:name="B7"/>
      <w:bookmarkEnd w:id="38"/>
      <w:r w:rsidRPr="000B76A6">
        <w:rPr>
          <w:rFonts w:ascii="Verdana" w:eastAsia="Times New Roman" w:hAnsi="Verdana" w:cs="Times New Roman"/>
          <w:color w:val="000000"/>
          <w:sz w:val="20"/>
          <w:szCs w:val="20"/>
          <w:lang w:eastAsia="es-EC"/>
        </w:rPr>
        <w:t>Código de Ética del Abogado (2012). Disponible en www.cal.org.pe/pdf/etica/2012/codigo_etica_abogado.pdf [fecha de consulta: 12 de octubre de 2022]. [ </w:t>
      </w:r>
      <w:hyperlink r:id="rId68"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6C76FC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39" w:name="B8"/>
      <w:bookmarkEnd w:id="39"/>
      <w:r w:rsidRPr="000B76A6">
        <w:rPr>
          <w:rFonts w:ascii="Verdana" w:eastAsia="Times New Roman" w:hAnsi="Verdana" w:cs="Times New Roman"/>
          <w:color w:val="000000"/>
          <w:sz w:val="20"/>
          <w:szCs w:val="20"/>
          <w:lang w:eastAsia="es-EC"/>
        </w:rPr>
        <w:t>Código Deontológico de la Abogacía Española (2019). Disponible en www.abogacia.es/wp-content/uploads/2019/05/Codigo-Deontologico-2019.pdf [fecha de consulta: 12 de octubre de 2022]. [ </w:t>
      </w:r>
      <w:hyperlink r:id="rId69"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5C19078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0" w:name="B9"/>
      <w:bookmarkEnd w:id="40"/>
      <w:r w:rsidRPr="000B76A6">
        <w:rPr>
          <w:rFonts w:ascii="Verdana" w:eastAsia="Times New Roman" w:hAnsi="Verdana" w:cs="Times New Roman"/>
          <w:color w:val="000000"/>
          <w:sz w:val="20"/>
          <w:szCs w:val="20"/>
          <w:lang w:eastAsia="es-EC"/>
        </w:rPr>
        <w:t>COMISIÓN DE ÉTICA Y CÓDIGOS DE BUENAS PRÁCTICAS (2008). Acta n.° 3, sesión ordinaria 18 de junio. Disponible en </w:t>
      </w:r>
      <w:hyperlink r:id="rId70" w:tgtFrame="_blank" w:history="1">
        <w:r w:rsidRPr="000B76A6">
          <w:rPr>
            <w:rFonts w:ascii="Verdana" w:eastAsia="Times New Roman" w:hAnsi="Verdana" w:cs="Times New Roman"/>
            <w:color w:val="0000FF"/>
            <w:sz w:val="20"/>
            <w:szCs w:val="20"/>
            <w:u w:val="single"/>
            <w:lang w:eastAsia="es-EC"/>
          </w:rPr>
          <w:t>https://archivo.colegioabogados.cl/cgi-bin/procesa.pl?plantilla=/v2/archivo.html&amp;bri=colegioabogados&amp;tab=art_1&amp;campo=c_archivo&amp;id=200</w:t>
        </w:r>
      </w:hyperlink>
      <w:r w:rsidRPr="000B76A6">
        <w:rPr>
          <w:rFonts w:ascii="Verdana" w:eastAsia="Times New Roman" w:hAnsi="Verdana" w:cs="Times New Roman"/>
          <w:color w:val="000000"/>
          <w:sz w:val="20"/>
          <w:szCs w:val="20"/>
          <w:lang w:eastAsia="es-EC"/>
        </w:rPr>
        <w:t> [fecha de consulta: 12 de octubre de 2022]. [ </w:t>
      </w:r>
      <w:hyperlink r:id="rId71"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4743A4A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1" w:name="B10"/>
      <w:bookmarkEnd w:id="41"/>
      <w:r w:rsidRPr="000B76A6">
        <w:rPr>
          <w:rFonts w:ascii="Verdana" w:eastAsia="Times New Roman" w:hAnsi="Verdana" w:cs="Times New Roman"/>
          <w:color w:val="000000"/>
          <w:sz w:val="20"/>
          <w:szCs w:val="20"/>
          <w:lang w:eastAsia="es-EC"/>
        </w:rPr>
        <w:t>[ </w:t>
      </w:r>
      <w:hyperlink r:id="rId72"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090FB0B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2" w:name="B11"/>
      <w:bookmarkEnd w:id="42"/>
      <w:r w:rsidRPr="000B76A6">
        <w:rPr>
          <w:rFonts w:ascii="Verdana" w:eastAsia="Times New Roman" w:hAnsi="Verdana" w:cs="Times New Roman"/>
          <w:color w:val="000000"/>
          <w:sz w:val="20"/>
          <w:szCs w:val="20"/>
          <w:lang w:eastAsia="es-EC"/>
        </w:rPr>
        <w:t>COMMENTS (1961) “Assertion of the Attorney-Client Privilege to Protect the Client’s Identity”. The University of Chicago Law Review, vol. 28, No. 3. Chicago. [ </w:t>
      </w:r>
      <w:hyperlink r:id="rId73"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39FB62D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3" w:name="B12"/>
      <w:bookmarkEnd w:id="43"/>
      <w:r w:rsidRPr="000B76A6">
        <w:rPr>
          <w:rFonts w:ascii="Verdana" w:eastAsia="Times New Roman" w:hAnsi="Verdana" w:cs="Times New Roman"/>
          <w:color w:val="000000"/>
          <w:sz w:val="20"/>
          <w:szCs w:val="20"/>
          <w:lang w:eastAsia="es-EC"/>
        </w:rPr>
        <w:t>CORTÉS BECHIARELLI, Emilio (2003) “Secreto profesional del abogado y ejercicio del derecho de defensa a la luz de la directiva 2001/97/C.E. del Parlamento Europeo y del Consejo”. Anuario de la Facultad de Derecho Universidad de Extremadura, vol. XXI. Extremadura. [ </w:t>
      </w:r>
      <w:hyperlink r:id="rId74"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C0B2CA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4" w:name="B13"/>
      <w:bookmarkEnd w:id="44"/>
      <w:r w:rsidRPr="000B76A6">
        <w:rPr>
          <w:rFonts w:ascii="Verdana" w:eastAsia="Times New Roman" w:hAnsi="Verdana" w:cs="Times New Roman"/>
          <w:color w:val="000000"/>
          <w:sz w:val="20"/>
          <w:szCs w:val="20"/>
          <w:lang w:eastAsia="es-EC"/>
        </w:rPr>
        <w:t>LARROUCAU TORRES, Jorge (2013). “Tres lecturas de la buena fe procesal”. Revista Chilena de Derecho Privado, n.º 21. Disponible en </w:t>
      </w:r>
      <w:hyperlink r:id="rId75" w:tgtFrame="_blank" w:history="1">
        <w:r w:rsidRPr="000B76A6">
          <w:rPr>
            <w:rFonts w:ascii="Verdana" w:eastAsia="Times New Roman" w:hAnsi="Verdana" w:cs="Times New Roman"/>
            <w:color w:val="0000FF"/>
            <w:sz w:val="20"/>
            <w:szCs w:val="20"/>
            <w:u w:val="single"/>
            <w:lang w:eastAsia="es-EC"/>
          </w:rPr>
          <w:t>https://dx.doi.org/10.4067/S0718-80722013000200007</w:t>
        </w:r>
      </w:hyperlink>
      <w:r w:rsidRPr="000B76A6">
        <w:rPr>
          <w:rFonts w:ascii="Verdana" w:eastAsia="Times New Roman" w:hAnsi="Verdana" w:cs="Times New Roman"/>
          <w:color w:val="000000"/>
          <w:sz w:val="20"/>
          <w:szCs w:val="20"/>
          <w:lang w:eastAsia="es-EC"/>
        </w:rPr>
        <w:t> [fecha de consulta: 12 de octubre de 2022]. [ </w:t>
      </w:r>
      <w:hyperlink r:id="rId76"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53BC704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5" w:name="B14"/>
      <w:bookmarkEnd w:id="45"/>
      <w:r w:rsidRPr="000B76A6">
        <w:rPr>
          <w:rFonts w:ascii="Verdana" w:eastAsia="Times New Roman" w:hAnsi="Verdana" w:cs="Times New Roman"/>
          <w:color w:val="000000"/>
          <w:sz w:val="20"/>
          <w:szCs w:val="20"/>
          <w:lang w:eastAsia="es-EC"/>
        </w:rPr>
        <w:t>LAUTT, Ruth (1991). “Does the attorney-client privilege extend to the client identity and fee arrangements”. Annual Survey of American Law. New York. [ </w:t>
      </w:r>
      <w:hyperlink r:id="rId77"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F2D73B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6" w:name="B15"/>
      <w:bookmarkEnd w:id="46"/>
      <w:r w:rsidRPr="000B76A6">
        <w:rPr>
          <w:rFonts w:ascii="Verdana" w:eastAsia="Times New Roman" w:hAnsi="Verdana" w:cs="Times New Roman"/>
          <w:color w:val="000000"/>
          <w:sz w:val="20"/>
          <w:szCs w:val="20"/>
          <w:lang w:eastAsia="es-EC"/>
        </w:rPr>
        <w:t>LÓPEZ MASLE, Julián (2019). “Discusiones actuales sobre el secreto profesional del abogado”, en Sebastián CONTRERAS (ed.). Ética y derecho. Jornadas de ética profesional del Abogado (2016-2018). Valencia: Tirant Lo Blanch. [ </w:t>
      </w:r>
      <w:hyperlink r:id="rId78"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0DBD3EB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7" w:name="B16"/>
      <w:bookmarkEnd w:id="47"/>
      <w:r w:rsidRPr="000B76A6">
        <w:rPr>
          <w:rFonts w:ascii="Verdana" w:eastAsia="Times New Roman" w:hAnsi="Verdana" w:cs="Times New Roman"/>
          <w:color w:val="000000"/>
          <w:sz w:val="20"/>
          <w:szCs w:val="20"/>
          <w:lang w:eastAsia="es-EC"/>
        </w:rPr>
        <w:t>MILLER, Charles (1983). “Disclosure of a client’s identity: The ethical dilemma”. The Journal of the Legal Profession, vol. 8. Alabama Model Code of Professional Conduct (2019). Disponible en </w:t>
      </w:r>
      <w:hyperlink r:id="rId79" w:tgtFrame="_blank" w:history="1">
        <w:r w:rsidRPr="000B76A6">
          <w:rPr>
            <w:rFonts w:ascii="Verdana" w:eastAsia="Times New Roman" w:hAnsi="Verdana" w:cs="Times New Roman"/>
            <w:color w:val="0000FF"/>
            <w:sz w:val="20"/>
            <w:szCs w:val="20"/>
            <w:u w:val="single"/>
            <w:lang w:eastAsia="es-EC"/>
          </w:rPr>
          <w:t>https://flsc-s3-storage-pub.s3.ca-central-1.amazonaws.com/Model-Code-October-2019.pdf</w:t>
        </w:r>
      </w:hyperlink>
      <w:r w:rsidRPr="000B76A6">
        <w:rPr>
          <w:rFonts w:ascii="Verdana" w:eastAsia="Times New Roman" w:hAnsi="Verdana" w:cs="Times New Roman"/>
          <w:color w:val="000000"/>
          <w:sz w:val="20"/>
          <w:szCs w:val="20"/>
          <w:lang w:eastAsia="es-EC"/>
        </w:rPr>
        <w:t> [fecha de consulta: 12 de octubre de 2022]. [ </w:t>
      </w:r>
      <w:hyperlink r:id="rId80"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301B1F6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8" w:name="B17"/>
      <w:bookmarkEnd w:id="48"/>
      <w:r w:rsidRPr="000B76A6">
        <w:rPr>
          <w:rFonts w:ascii="Verdana" w:eastAsia="Times New Roman" w:hAnsi="Verdana" w:cs="Times New Roman"/>
          <w:color w:val="000000"/>
          <w:sz w:val="20"/>
          <w:szCs w:val="20"/>
          <w:lang w:eastAsia="es-EC"/>
        </w:rPr>
        <w:t>PARDO VALENCIA, Fanny (1969). Ética y derecho de la abogacía en Chile. Santiago: Editorial Jurídica de Chile. [ </w:t>
      </w:r>
      <w:hyperlink r:id="rId81"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1B8FE1F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49" w:name="B18"/>
      <w:bookmarkEnd w:id="49"/>
      <w:r w:rsidRPr="000B76A6">
        <w:rPr>
          <w:rFonts w:ascii="Verdana" w:eastAsia="Times New Roman" w:hAnsi="Verdana" w:cs="Times New Roman"/>
          <w:color w:val="000000"/>
          <w:sz w:val="20"/>
          <w:szCs w:val="20"/>
          <w:lang w:eastAsia="es-EC"/>
        </w:rPr>
        <w:t>Real decreto 135/2021, de 2 de marzo, por el que se aprueba el Estatuto General de la Abogacía Española. Disponible en www.boe.es/buscar/act.php?id=BOE-A-2021-4568&amp;p=20210324&amp;tn=0 [fecha de consulta: 12 de octubre de 2022]. [ </w:t>
      </w:r>
      <w:hyperlink r:id="rId82"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9DBD79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0" w:name="B19"/>
      <w:bookmarkEnd w:id="50"/>
      <w:r w:rsidRPr="000B76A6">
        <w:rPr>
          <w:rFonts w:ascii="Verdana" w:eastAsia="Times New Roman" w:hAnsi="Verdana" w:cs="Times New Roman"/>
          <w:color w:val="000000"/>
          <w:sz w:val="20"/>
          <w:szCs w:val="20"/>
          <w:lang w:eastAsia="es-EC"/>
        </w:rPr>
        <w:t>Rules of Professional Conduct (2017). Disponible en www.nycourts.gov/LegacyPDFS/rules/jointappellate/NY-Rules-Prof-Conduct-1200.pdf [fecha de consulta: 12 de octubre de 2022]. [ </w:t>
      </w:r>
      <w:hyperlink r:id="rId83"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01EB353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1" w:name="B20"/>
      <w:bookmarkEnd w:id="51"/>
      <w:r w:rsidRPr="000B76A6">
        <w:rPr>
          <w:rFonts w:ascii="Verdana" w:eastAsia="Times New Roman" w:hAnsi="Verdana" w:cs="Times New Roman"/>
          <w:color w:val="000000"/>
          <w:sz w:val="20"/>
          <w:szCs w:val="20"/>
          <w:lang w:eastAsia="es-EC"/>
        </w:rPr>
        <w:t>WIGMORE, John Henry (1923). A treatise on the Anglo-American system of evidence in trials at common law: including the statutes and judicial decisions of all jurisdictions of the United States and Canada. 2 ª ed. Boston: Little Brown, vol. 5. [ </w:t>
      </w:r>
      <w:hyperlink r:id="rId84"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37656C0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2" w:name="B22"/>
      <w:bookmarkEnd w:id="52"/>
      <w:r w:rsidRPr="000B76A6">
        <w:rPr>
          <w:rFonts w:ascii="Verdana" w:eastAsia="Times New Roman" w:hAnsi="Verdana" w:cs="Times New Roman"/>
          <w:color w:val="000000"/>
          <w:sz w:val="20"/>
          <w:szCs w:val="20"/>
          <w:lang w:eastAsia="es-EC"/>
        </w:rPr>
        <w:t>A.A. contra Y.Y., (1952): Consejo General del Colegio de Abogados, 6 de junio de 1952. </w:t>
      </w:r>
      <w:r w:rsidRPr="000B76A6">
        <w:rPr>
          <w:rFonts w:ascii="Verdana" w:eastAsia="Times New Roman" w:hAnsi="Verdana" w:cs="Times New Roman"/>
          <w:i/>
          <w:iCs/>
          <w:color w:val="000000"/>
          <w:sz w:val="20"/>
          <w:szCs w:val="20"/>
          <w:lang w:eastAsia="es-EC"/>
        </w:rPr>
        <w:t>Revista de Derecho y Jurisprudencia</w:t>
      </w:r>
      <w:r w:rsidRPr="000B76A6">
        <w:rPr>
          <w:rFonts w:ascii="Verdana" w:eastAsia="Times New Roman" w:hAnsi="Verdana" w:cs="Times New Roman"/>
          <w:color w:val="000000"/>
          <w:sz w:val="20"/>
          <w:szCs w:val="20"/>
          <w:lang w:eastAsia="es-EC"/>
        </w:rPr>
        <w:t> , tomo XLIX, segunda parte, sección quinta. Santiago. [ </w:t>
      </w:r>
      <w:hyperlink r:id="rId85"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48ED20D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3" w:name="B23"/>
      <w:bookmarkEnd w:id="53"/>
      <w:r w:rsidRPr="000B76A6">
        <w:rPr>
          <w:rFonts w:ascii="Verdana" w:eastAsia="Times New Roman" w:hAnsi="Verdana" w:cs="Times New Roman"/>
          <w:color w:val="000000"/>
          <w:sz w:val="20"/>
          <w:szCs w:val="20"/>
          <w:lang w:eastAsia="es-EC"/>
        </w:rPr>
        <w:t>B. v. K. (1960) 279 F.2d 623 (9th Cir. 1960). [ </w:t>
      </w:r>
      <w:hyperlink r:id="rId86"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4C124EC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4" w:name="B24"/>
      <w:bookmarkEnd w:id="54"/>
      <w:r w:rsidRPr="000B76A6">
        <w:rPr>
          <w:rFonts w:ascii="Verdana" w:eastAsia="Times New Roman" w:hAnsi="Verdana" w:cs="Times New Roman"/>
          <w:color w:val="000000"/>
          <w:sz w:val="20"/>
          <w:szCs w:val="20"/>
          <w:lang w:eastAsia="es-EC"/>
        </w:rPr>
        <w:t>COMMITTEE ON PROFESSIONAL ETHICS (2012): </w:t>
      </w:r>
      <w:r w:rsidRPr="000B76A6">
        <w:rPr>
          <w:rFonts w:ascii="Verdana" w:eastAsia="Times New Roman" w:hAnsi="Verdana" w:cs="Times New Roman"/>
          <w:i/>
          <w:iCs/>
          <w:color w:val="000000"/>
          <w:sz w:val="20"/>
          <w:szCs w:val="20"/>
          <w:lang w:eastAsia="es-EC"/>
        </w:rPr>
        <w:t>Ethics Opinion 907 Protecting anonymity of client</w:t>
      </w:r>
      <w:r w:rsidRPr="000B76A6">
        <w:rPr>
          <w:rFonts w:ascii="Verdana" w:eastAsia="Times New Roman" w:hAnsi="Verdana" w:cs="Times New Roman"/>
          <w:color w:val="000000"/>
          <w:sz w:val="20"/>
          <w:szCs w:val="20"/>
          <w:lang w:eastAsia="es-EC"/>
        </w:rPr>
        <w:t> , 2/2/2012. Disponible en: </w:t>
      </w:r>
      <w:hyperlink r:id="rId87" w:tgtFrame="_blank" w:history="1">
        <w:r w:rsidRPr="000B76A6">
          <w:rPr>
            <w:rFonts w:ascii="Verdana" w:eastAsia="Times New Roman" w:hAnsi="Verdana" w:cs="Times New Roman"/>
            <w:color w:val="0000FF"/>
            <w:sz w:val="20"/>
            <w:szCs w:val="20"/>
            <w:u w:val="single"/>
            <w:lang w:eastAsia="es-EC"/>
          </w:rPr>
          <w:t>https://nysba.org/ethics-opinion-907/</w:t>
        </w:r>
      </w:hyperlink>
      <w:r w:rsidRPr="000B76A6">
        <w:rPr>
          <w:rFonts w:ascii="Verdana" w:eastAsia="Times New Roman" w:hAnsi="Verdana" w:cs="Times New Roman"/>
          <w:color w:val="000000"/>
          <w:sz w:val="20"/>
          <w:szCs w:val="20"/>
          <w:lang w:eastAsia="es-EC"/>
        </w:rPr>
        <w:t> [fecha de consulta: 12 de octubre de 2022]. [ </w:t>
      </w:r>
      <w:hyperlink r:id="rId88"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564B3E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5" w:name="B25"/>
      <w:bookmarkEnd w:id="55"/>
      <w:r w:rsidRPr="000B76A6">
        <w:rPr>
          <w:rFonts w:ascii="Verdana" w:eastAsia="Times New Roman" w:hAnsi="Verdana" w:cs="Times New Roman"/>
          <w:color w:val="000000"/>
          <w:sz w:val="20"/>
          <w:szCs w:val="20"/>
          <w:lang w:eastAsia="es-EC"/>
        </w:rPr>
        <w:t>COMMITTEE ON PROFESSIONAL ETHICS (2016): </w:t>
      </w:r>
      <w:r w:rsidRPr="000B76A6">
        <w:rPr>
          <w:rFonts w:ascii="Verdana" w:eastAsia="Times New Roman" w:hAnsi="Verdana" w:cs="Times New Roman"/>
          <w:i/>
          <w:iCs/>
          <w:color w:val="000000"/>
          <w:sz w:val="20"/>
          <w:szCs w:val="20"/>
          <w:lang w:eastAsia="es-EC"/>
        </w:rPr>
        <w:t>Ethics Opinion 1088</w:t>
      </w:r>
      <w:r w:rsidRPr="000B76A6">
        <w:rPr>
          <w:rFonts w:ascii="Verdana" w:eastAsia="Times New Roman" w:hAnsi="Verdana" w:cs="Times New Roman"/>
          <w:color w:val="000000"/>
          <w:sz w:val="20"/>
          <w:szCs w:val="20"/>
          <w:lang w:eastAsia="es-EC"/>
        </w:rPr>
        <w:t> , 3/31/ 2016. Disponible en: </w:t>
      </w:r>
      <w:hyperlink r:id="rId89" w:tgtFrame="_blank" w:history="1">
        <w:r w:rsidRPr="000B76A6">
          <w:rPr>
            <w:rFonts w:ascii="Verdana" w:eastAsia="Times New Roman" w:hAnsi="Verdana" w:cs="Times New Roman"/>
            <w:color w:val="0000FF"/>
            <w:sz w:val="20"/>
            <w:szCs w:val="20"/>
            <w:u w:val="single"/>
            <w:lang w:eastAsia="es-EC"/>
          </w:rPr>
          <w:t>https://nysba.org/ethics-opinion-1088/</w:t>
        </w:r>
      </w:hyperlink>
      <w:r w:rsidRPr="000B76A6">
        <w:rPr>
          <w:rFonts w:ascii="Verdana" w:eastAsia="Times New Roman" w:hAnsi="Verdana" w:cs="Times New Roman"/>
          <w:color w:val="000000"/>
          <w:sz w:val="20"/>
          <w:szCs w:val="20"/>
          <w:lang w:eastAsia="es-EC"/>
        </w:rPr>
        <w:t> [fecha de consulta: 12 de octubre de 2022]. [ </w:t>
      </w:r>
      <w:hyperlink r:id="rId90"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3356AB0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6" w:name="B26"/>
      <w:bookmarkEnd w:id="56"/>
      <w:r w:rsidRPr="000B76A6">
        <w:rPr>
          <w:rFonts w:ascii="Verdana" w:eastAsia="Times New Roman" w:hAnsi="Verdana" w:cs="Times New Roman"/>
          <w:color w:val="000000"/>
          <w:sz w:val="20"/>
          <w:szCs w:val="20"/>
          <w:lang w:eastAsia="es-EC"/>
        </w:rPr>
        <w:t>G. con G. (1954): Corte Suprema, 13 mayo de 1954. </w:t>
      </w:r>
      <w:r w:rsidRPr="000B76A6">
        <w:rPr>
          <w:rFonts w:ascii="Verdana" w:eastAsia="Times New Roman" w:hAnsi="Verdana" w:cs="Times New Roman"/>
          <w:i/>
          <w:iCs/>
          <w:color w:val="000000"/>
          <w:sz w:val="20"/>
          <w:szCs w:val="20"/>
          <w:lang w:eastAsia="es-EC"/>
        </w:rPr>
        <w:t>Revista de Derecho y Jurisprudencia</w:t>
      </w:r>
      <w:r w:rsidRPr="000B76A6">
        <w:rPr>
          <w:rFonts w:ascii="Verdana" w:eastAsia="Times New Roman" w:hAnsi="Verdana" w:cs="Times New Roman"/>
          <w:color w:val="000000"/>
          <w:sz w:val="20"/>
          <w:szCs w:val="20"/>
          <w:lang w:eastAsia="es-EC"/>
        </w:rPr>
        <w:t> , tomo LII, segunda parte, sección primera. Santiago. [ </w:t>
      </w:r>
      <w:hyperlink r:id="rId91"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1EEC7DD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7" w:name="B27"/>
      <w:bookmarkEnd w:id="57"/>
      <w:r w:rsidRPr="000B76A6">
        <w:rPr>
          <w:rFonts w:ascii="Verdana" w:eastAsia="Times New Roman" w:hAnsi="Verdana" w:cs="Times New Roman"/>
          <w:color w:val="000000"/>
          <w:sz w:val="20"/>
          <w:szCs w:val="20"/>
          <w:lang w:eastAsia="es-EC"/>
        </w:rPr>
        <w:t>In re Kaplan (1960) 8 N.Y.2d 214, 168 N.E.2d 660, 203 N.Y.S.2d 836. [ </w:t>
      </w:r>
      <w:hyperlink r:id="rId92"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1A5825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8" w:name="B28"/>
      <w:bookmarkEnd w:id="58"/>
      <w:r w:rsidRPr="000B76A6">
        <w:rPr>
          <w:rFonts w:ascii="Verdana" w:eastAsia="Times New Roman" w:hAnsi="Verdana" w:cs="Times New Roman"/>
          <w:color w:val="000000"/>
          <w:sz w:val="20"/>
          <w:szCs w:val="20"/>
          <w:lang w:eastAsia="es-EC"/>
        </w:rPr>
        <w:t>Ministerio de Relaciones Exteriores con Consejo para la Transparencia (2014): Corte Suprema, Rol 13510-2013, 13 enero de 2014. Disponible en </w:t>
      </w:r>
      <w:hyperlink r:id="rId93" w:tgtFrame="_blank" w:history="1">
        <w:r w:rsidRPr="000B76A6">
          <w:rPr>
            <w:rFonts w:ascii="Verdana" w:eastAsia="Times New Roman" w:hAnsi="Verdana" w:cs="Times New Roman"/>
            <w:color w:val="0000FF"/>
            <w:sz w:val="20"/>
            <w:szCs w:val="20"/>
            <w:u w:val="single"/>
            <w:lang w:eastAsia="es-EC"/>
          </w:rPr>
          <w:t>https://jurisprudencia.cplt.cl/cplt/decision.php?id=CPLT00007368</w:t>
        </w:r>
      </w:hyperlink>
      <w:r w:rsidRPr="000B76A6">
        <w:rPr>
          <w:rFonts w:ascii="Verdana" w:eastAsia="Times New Roman" w:hAnsi="Verdana" w:cs="Times New Roman"/>
          <w:color w:val="000000"/>
          <w:sz w:val="20"/>
          <w:szCs w:val="20"/>
          <w:lang w:eastAsia="es-EC"/>
        </w:rPr>
        <w:t> [fecha de consulta: 12 de octubre de 2022]. [ </w:t>
      </w:r>
      <w:hyperlink r:id="rId94"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7585410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59" w:name="B29"/>
      <w:bookmarkEnd w:id="59"/>
      <w:r w:rsidRPr="000B76A6">
        <w:rPr>
          <w:rFonts w:ascii="Verdana" w:eastAsia="Times New Roman" w:hAnsi="Verdana" w:cs="Times New Roman"/>
          <w:color w:val="000000"/>
          <w:sz w:val="20"/>
          <w:szCs w:val="20"/>
          <w:lang w:eastAsia="es-EC"/>
        </w:rPr>
        <w:t>Sentencia (1984): Tribunal Constitucional de España, 26 de noviembre de 1984, sentencia n.° 110/1984. </w:t>
      </w:r>
      <w:r w:rsidRPr="000B76A6">
        <w:rPr>
          <w:rFonts w:ascii="Verdana" w:eastAsia="Times New Roman" w:hAnsi="Verdana" w:cs="Times New Roman"/>
          <w:i/>
          <w:iCs/>
          <w:color w:val="000000"/>
          <w:sz w:val="20"/>
          <w:szCs w:val="20"/>
          <w:lang w:eastAsia="es-EC"/>
        </w:rPr>
        <w:t>Bolet</w:t>
      </w:r>
      <w:r w:rsidRPr="000B76A6">
        <w:rPr>
          <w:rFonts w:ascii="Verdana" w:eastAsia="Times New Roman" w:hAnsi="Verdana" w:cs="Times New Roman"/>
          <w:color w:val="000000"/>
          <w:sz w:val="20"/>
          <w:szCs w:val="20"/>
          <w:lang w:eastAsia="es-EC"/>
        </w:rPr>
        <w:t> í </w:t>
      </w:r>
      <w:r w:rsidRPr="000B76A6">
        <w:rPr>
          <w:rFonts w:ascii="Verdana" w:eastAsia="Times New Roman" w:hAnsi="Verdana" w:cs="Times New Roman"/>
          <w:i/>
          <w:iCs/>
          <w:color w:val="000000"/>
          <w:sz w:val="20"/>
          <w:szCs w:val="20"/>
          <w:lang w:eastAsia="es-EC"/>
        </w:rPr>
        <w:t>n Oficial del Estado</w:t>
      </w:r>
      <w:r w:rsidRPr="000B76A6">
        <w:rPr>
          <w:rFonts w:ascii="Verdana" w:eastAsia="Times New Roman" w:hAnsi="Verdana" w:cs="Times New Roman"/>
          <w:color w:val="000000"/>
          <w:sz w:val="20"/>
          <w:szCs w:val="20"/>
          <w:lang w:eastAsia="es-EC"/>
        </w:rPr>
        <w:t> , n.º 305. Disponible en </w:t>
      </w:r>
      <w:hyperlink r:id="rId95" w:tgtFrame="_blank" w:history="1">
        <w:r w:rsidRPr="000B76A6">
          <w:rPr>
            <w:rFonts w:ascii="Verdana" w:eastAsia="Times New Roman" w:hAnsi="Verdana" w:cs="Times New Roman"/>
            <w:color w:val="0000FF"/>
            <w:sz w:val="20"/>
            <w:szCs w:val="20"/>
            <w:u w:val="single"/>
            <w:lang w:eastAsia="es-EC"/>
          </w:rPr>
          <w:t>http://hj.tribunalconstitucional.es/cs/Resolucion/Show/363</w:t>
        </w:r>
      </w:hyperlink>
      <w:r w:rsidRPr="000B76A6">
        <w:rPr>
          <w:rFonts w:ascii="Verdana" w:eastAsia="Times New Roman" w:hAnsi="Verdana" w:cs="Times New Roman"/>
          <w:color w:val="000000"/>
          <w:sz w:val="20"/>
          <w:szCs w:val="20"/>
          <w:lang w:eastAsia="es-EC"/>
        </w:rPr>
        <w:t> [fecha de consulta: 12 de octubre de 2022]. [ </w:t>
      </w:r>
      <w:hyperlink r:id="rId96"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141BACA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0" w:name="B30"/>
      <w:bookmarkEnd w:id="60"/>
      <w:r w:rsidRPr="000B76A6">
        <w:rPr>
          <w:rFonts w:ascii="Verdana" w:eastAsia="Times New Roman" w:hAnsi="Verdana" w:cs="Times New Roman"/>
          <w:color w:val="000000"/>
          <w:sz w:val="20"/>
          <w:szCs w:val="20"/>
          <w:lang w:eastAsia="es-EC"/>
        </w:rPr>
        <w:t>Sentencia (2019): Tribunal de Ética del Colegio de Abogados de Chile A.G., de 16 de agosto de 2019, NPR 29/16 (acumulada NPR 104/16). Disponible en </w:t>
      </w:r>
      <w:hyperlink r:id="rId97" w:tgtFrame="_blank" w:history="1">
        <w:r w:rsidRPr="000B76A6">
          <w:rPr>
            <w:rFonts w:ascii="Verdana" w:eastAsia="Times New Roman" w:hAnsi="Verdana" w:cs="Times New Roman"/>
            <w:color w:val="0000FF"/>
            <w:sz w:val="20"/>
            <w:szCs w:val="20"/>
            <w:u w:val="single"/>
            <w:lang w:eastAsia="es-EC"/>
          </w:rPr>
          <w:t>https://colegioabogados.cl/wp-content/uploads/2021/07/07.-Fallo-29-16-104-16-acumulada.pdf</w:t>
        </w:r>
      </w:hyperlink>
      <w:r w:rsidRPr="000B76A6">
        <w:rPr>
          <w:rFonts w:ascii="Verdana" w:eastAsia="Times New Roman" w:hAnsi="Verdana" w:cs="Times New Roman"/>
          <w:color w:val="000000"/>
          <w:sz w:val="20"/>
          <w:szCs w:val="20"/>
          <w:lang w:eastAsia="es-EC"/>
        </w:rPr>
        <w:t> [fecha de consulta: 3 de julio de 2023]. [ </w:t>
      </w:r>
      <w:hyperlink r:id="rId98" w:history="1">
        <w:r w:rsidRPr="000B76A6">
          <w:rPr>
            <w:rFonts w:ascii="Verdana" w:eastAsia="Times New Roman" w:hAnsi="Verdana" w:cs="Times New Roman"/>
            <w:color w:val="0000FF"/>
            <w:sz w:val="20"/>
            <w:szCs w:val="20"/>
            <w:u w:val="single"/>
            <w:lang w:eastAsia="es-EC"/>
          </w:rPr>
          <w:t>Links</w:t>
        </w:r>
      </w:hyperlink>
      <w:r w:rsidRPr="000B76A6">
        <w:rPr>
          <w:rFonts w:ascii="Verdana" w:eastAsia="Times New Roman" w:hAnsi="Verdana" w:cs="Times New Roman"/>
          <w:color w:val="000000"/>
          <w:sz w:val="20"/>
          <w:szCs w:val="20"/>
          <w:lang w:eastAsia="es-EC"/>
        </w:rPr>
        <w:t> ]</w:t>
      </w:r>
    </w:p>
    <w:p w14:paraId="04BACB00" w14:textId="77777777" w:rsidR="000B76A6" w:rsidRPr="000B76A6" w:rsidRDefault="000B76A6" w:rsidP="000B76A6">
      <w:pPr>
        <w:shd w:val="clear" w:color="auto" w:fill="FFFFFF"/>
        <w:spacing w:before="600" w:after="100" w:afterAutospacing="1" w:line="240" w:lineRule="auto"/>
        <w:rPr>
          <w:rFonts w:ascii="Verdana" w:eastAsia="Times New Roman" w:hAnsi="Verdana" w:cs="Times New Roman"/>
          <w:b/>
          <w:bCs/>
          <w:caps/>
          <w:color w:val="000000"/>
          <w:sz w:val="24"/>
          <w:szCs w:val="24"/>
          <w:lang w:eastAsia="es-EC"/>
        </w:rPr>
      </w:pPr>
      <w:r w:rsidRPr="000B76A6">
        <w:rPr>
          <w:rFonts w:ascii="Verdana" w:eastAsia="Times New Roman" w:hAnsi="Verdana" w:cs="Times New Roman"/>
          <w:b/>
          <w:bCs/>
          <w:caps/>
          <w:color w:val="000000"/>
          <w:sz w:val="24"/>
          <w:szCs w:val="24"/>
          <w:lang w:eastAsia="es-EC"/>
        </w:rPr>
        <w:t>NOTAS</w:t>
      </w:r>
    </w:p>
    <w:p w14:paraId="0D0A740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1" w:name="fn1"/>
      <w:bookmarkEnd w:id="61"/>
      <w:r w:rsidRPr="000B76A6">
        <w:rPr>
          <w:rFonts w:ascii="Verdana" w:eastAsia="Times New Roman" w:hAnsi="Verdana" w:cs="Times New Roman"/>
          <w:color w:val="000000"/>
          <w:sz w:val="20"/>
          <w:szCs w:val="20"/>
          <w:vertAlign w:val="superscript"/>
          <w:lang w:eastAsia="es-EC"/>
        </w:rPr>
        <w:t>1</w:t>
      </w:r>
      <w:r w:rsidRPr="000B76A6">
        <w:rPr>
          <w:rFonts w:ascii="Verdana" w:eastAsia="Times New Roman" w:hAnsi="Verdana" w:cs="Times New Roman"/>
          <w:color w:val="000000"/>
          <w:sz w:val="20"/>
          <w:szCs w:val="20"/>
          <w:lang w:eastAsia="es-EC"/>
        </w:rPr>
        <w:t>La regulación de la ética profesional en Chile se encuentra repartida en normas constitucionales y legislativas, y en códigos de ética profesional como autorregulaciones de los colegios profesionales. En este informe entendemos por ética profesional de la abogacía la contenida en este segundo cuerpo de normas, es decir, en los </w:t>
      </w:r>
      <w:r w:rsidRPr="000B76A6">
        <w:rPr>
          <w:rFonts w:ascii="Verdana" w:eastAsia="Times New Roman" w:hAnsi="Verdana" w:cs="Times New Roman"/>
          <w:i/>
          <w:iCs/>
          <w:color w:val="000000"/>
          <w:sz w:val="20"/>
          <w:szCs w:val="20"/>
          <w:lang w:eastAsia="es-EC"/>
        </w:rPr>
        <w:t>CEP</w:t>
      </w:r>
      <w:r w:rsidRPr="000B76A6">
        <w:rPr>
          <w:rFonts w:ascii="Verdana" w:eastAsia="Times New Roman" w:hAnsi="Verdana" w:cs="Times New Roman"/>
          <w:color w:val="000000"/>
          <w:sz w:val="20"/>
          <w:szCs w:val="20"/>
          <w:lang w:eastAsia="es-EC"/>
        </w:rPr>
        <w:t> del Colegio de Abogados de Chile de 1948 y 2011, incluyendo la doctrina y jurisprudencia surgida a su alero. Sobre la regulación constitucional y legal de la ética profesional, véase ANRÍQUEZ </w:t>
      </w:r>
      <w:r w:rsidRPr="000B76A6">
        <w:rPr>
          <w:rFonts w:ascii="Verdana" w:eastAsia="Times New Roman" w:hAnsi="Verdana" w:cs="Times New Roman"/>
          <w:i/>
          <w:iCs/>
          <w:color w:val="000000"/>
          <w:sz w:val="20"/>
          <w:szCs w:val="20"/>
          <w:lang w:eastAsia="es-EC"/>
        </w:rPr>
        <w:t>et al.</w:t>
      </w:r>
      <w:r w:rsidRPr="000B76A6">
        <w:rPr>
          <w:rFonts w:ascii="Verdana" w:eastAsia="Times New Roman" w:hAnsi="Verdana" w:cs="Times New Roman"/>
          <w:color w:val="000000"/>
          <w:sz w:val="20"/>
          <w:szCs w:val="20"/>
          <w:lang w:eastAsia="es-EC"/>
        </w:rPr>
        <w:t> (2019).</w:t>
      </w:r>
    </w:p>
    <w:p w14:paraId="6512E14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2" w:name="fn2"/>
      <w:bookmarkEnd w:id="62"/>
      <w:r w:rsidRPr="000B76A6">
        <w:rPr>
          <w:rFonts w:ascii="Verdana" w:eastAsia="Times New Roman" w:hAnsi="Verdana" w:cs="Times New Roman"/>
          <w:color w:val="000000"/>
          <w:sz w:val="20"/>
          <w:szCs w:val="20"/>
          <w:vertAlign w:val="superscript"/>
          <w:lang w:eastAsia="es-EC"/>
        </w:rPr>
        <w:t>2</w:t>
      </w:r>
      <w:r w:rsidRPr="000B76A6">
        <w:rPr>
          <w:rFonts w:ascii="Verdana" w:eastAsia="Times New Roman" w:hAnsi="Verdana" w:cs="Times New Roman"/>
          <w:color w:val="000000"/>
          <w:sz w:val="20"/>
          <w:szCs w:val="20"/>
          <w:lang w:eastAsia="es-EC"/>
        </w:rPr>
        <w:t>LARROUCAU (2013), p. 294. Énfasis en el original.</w:t>
      </w:r>
    </w:p>
    <w:p w14:paraId="2059305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3" w:name="fn3"/>
      <w:bookmarkEnd w:id="63"/>
      <w:r w:rsidRPr="000B76A6">
        <w:rPr>
          <w:rFonts w:ascii="Verdana" w:eastAsia="Times New Roman" w:hAnsi="Verdana" w:cs="Times New Roman"/>
          <w:color w:val="000000"/>
          <w:sz w:val="20"/>
          <w:szCs w:val="20"/>
          <w:vertAlign w:val="superscript"/>
          <w:lang w:eastAsia="es-EC"/>
        </w:rPr>
        <w:t>3</w:t>
      </w:r>
      <w:r w:rsidRPr="000B76A6">
        <w:rPr>
          <w:rFonts w:ascii="Verdana" w:eastAsia="Times New Roman" w:hAnsi="Verdana" w:cs="Times New Roman"/>
          <w:color w:val="000000"/>
          <w:sz w:val="20"/>
          <w:szCs w:val="20"/>
          <w:lang w:eastAsia="es-EC"/>
        </w:rPr>
        <w:t>Pero sí lo hacía la Ley n.º 4409, orgánica del Colegio de Abogados, luego de su modificación por la Ley n.° 6985, de 10 de julio de 1941, la cual modificó el art. 53.º por el siguiente (inciso 3.°): “El que sin ser abogado ejecutare cualquiera de los actos a que esta ley se refiere, incurrirá en la pena de reclusión menor en su grado mínimo a medio. En la misma pena incurrirá el que, sin tener alguna de las calidades que señala el inciso 1.o del artículo 41, represente a otro en un asunto contencioso o no contencioso que no sea de los expresamente exceptuados por la presente ley. </w:t>
      </w:r>
      <w:r w:rsidRPr="000B76A6">
        <w:rPr>
          <w:rFonts w:ascii="Verdana" w:eastAsia="Times New Roman" w:hAnsi="Verdana" w:cs="Times New Roman"/>
          <w:i/>
          <w:iCs/>
          <w:color w:val="000000"/>
          <w:sz w:val="20"/>
          <w:szCs w:val="20"/>
          <w:lang w:eastAsia="es-EC"/>
        </w:rPr>
        <w:t>El abogado que aparente ser el patrocinante de un asunto sin serlo en realidad o que preste su firma para cumplir con las exigencias legales, será sancionado disciplinariamente por el Consejo respectivo.</w:t>
      </w:r>
    </w:p>
    <w:p w14:paraId="18A15C3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4" w:name="fn48"/>
      <w:bookmarkEnd w:id="64"/>
      <w:r w:rsidRPr="000B76A6">
        <w:rPr>
          <w:rFonts w:ascii="Verdana" w:eastAsia="Times New Roman" w:hAnsi="Verdana" w:cs="Times New Roman"/>
          <w:color w:val="000000"/>
          <w:sz w:val="20"/>
          <w:szCs w:val="20"/>
          <w:lang w:eastAsia="es-EC"/>
        </w:rPr>
        <w:t>El abogado que ejerciere su profesión hallándose suspendido por resolución ejecutoriada de un Consejo o de la justicia, incurrirá en una multa de 500 a 1.000 pesos que se aumentará al doble en caso de reincidencia. La multa se aplicará en la forma establecida en el inciso 2.o del artículo anterior” (énfasis agregado).</w:t>
      </w:r>
    </w:p>
    <w:p w14:paraId="015C850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5" w:name="fn4"/>
      <w:bookmarkEnd w:id="65"/>
      <w:r w:rsidRPr="000B76A6">
        <w:rPr>
          <w:rFonts w:ascii="Verdana" w:eastAsia="Times New Roman" w:hAnsi="Verdana" w:cs="Times New Roman"/>
          <w:color w:val="000000"/>
          <w:sz w:val="20"/>
          <w:szCs w:val="20"/>
          <w:vertAlign w:val="superscript"/>
          <w:lang w:eastAsia="es-EC"/>
        </w:rPr>
        <w:t>4</w:t>
      </w:r>
      <w:r w:rsidRPr="000B76A6">
        <w:rPr>
          <w:rFonts w:ascii="Verdana" w:eastAsia="Times New Roman" w:hAnsi="Verdana" w:cs="Times New Roman"/>
          <w:color w:val="000000"/>
          <w:sz w:val="20"/>
          <w:szCs w:val="20"/>
          <w:lang w:eastAsia="es-EC"/>
        </w:rPr>
        <w:t>Sobre el carácter “aspiracional” del </w:t>
      </w:r>
      <w:r w:rsidRPr="000B76A6">
        <w:rPr>
          <w:rFonts w:ascii="Verdana" w:eastAsia="Times New Roman" w:hAnsi="Verdana" w:cs="Times New Roman"/>
          <w:i/>
          <w:iCs/>
          <w:color w:val="000000"/>
          <w:sz w:val="20"/>
          <w:szCs w:val="20"/>
          <w:lang w:eastAsia="es-EC"/>
        </w:rPr>
        <w:t>Código</w:t>
      </w:r>
      <w:r w:rsidRPr="000B76A6">
        <w:rPr>
          <w:rFonts w:ascii="Verdana" w:eastAsia="Times New Roman" w:hAnsi="Verdana" w:cs="Times New Roman"/>
          <w:color w:val="000000"/>
          <w:sz w:val="20"/>
          <w:szCs w:val="20"/>
          <w:lang w:eastAsia="es-EC"/>
        </w:rPr>
        <w:t> antiguo en comparación con el carácter más normativo del </w:t>
      </w:r>
      <w:r w:rsidRPr="000B76A6">
        <w:rPr>
          <w:rFonts w:ascii="Verdana" w:eastAsia="Times New Roman" w:hAnsi="Verdana" w:cs="Times New Roman"/>
          <w:i/>
          <w:iCs/>
          <w:color w:val="000000"/>
          <w:sz w:val="20"/>
          <w:szCs w:val="20"/>
          <w:lang w:eastAsia="es-EC"/>
        </w:rPr>
        <w:t>Código</w:t>
      </w:r>
      <w:r w:rsidRPr="000B76A6">
        <w:rPr>
          <w:rFonts w:ascii="Verdana" w:eastAsia="Times New Roman" w:hAnsi="Verdana" w:cs="Times New Roman"/>
          <w:color w:val="000000"/>
          <w:sz w:val="20"/>
          <w:szCs w:val="20"/>
          <w:lang w:eastAsia="es-EC"/>
        </w:rPr>
        <w:t> vigente, se ha escrito: “Si bien el Colegio, desde hace varios años, había actualizado algunas de sus normas, con interpretaciones y recomendaciones en ciertas materias, como gestión de bienes de clientes, conflictos de interés e incompatibilidades o formación de clientela, </w:t>
      </w:r>
      <w:r w:rsidRPr="000B76A6">
        <w:rPr>
          <w:rFonts w:ascii="Verdana" w:eastAsia="Times New Roman" w:hAnsi="Verdana" w:cs="Times New Roman"/>
          <w:i/>
          <w:iCs/>
          <w:color w:val="000000"/>
          <w:sz w:val="20"/>
          <w:szCs w:val="20"/>
          <w:lang w:eastAsia="es-EC"/>
        </w:rPr>
        <w:t>el código mantenía un carácter más aspiracional que normativo. Sus reglas estaban confundidas con declaraciones acerca de ideales de la profesión que difícilmente son objeto de adjudicación.</w:t>
      </w:r>
      <w:r w:rsidRPr="000B76A6">
        <w:rPr>
          <w:rFonts w:ascii="Verdana" w:eastAsia="Times New Roman" w:hAnsi="Verdana" w:cs="Times New Roman"/>
          <w:color w:val="000000"/>
          <w:sz w:val="20"/>
          <w:szCs w:val="20"/>
          <w:lang w:eastAsia="es-EC"/>
        </w:rPr>
        <w:t> Del mismo modo que el derecho civil, el penal o el administrativo carecerían de densidad normativa suficiente si se limitaran a ciertos principios expresados en cláusulas generales, así también las reglas que rigen el comportamiento profesional requieren de concreción para que sea orientaciones efectivas y conocidas de la conducta profesional”. BARROS (2014), p. 475. Énfasis agregado.</w:t>
      </w:r>
    </w:p>
    <w:p w14:paraId="556904F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6" w:name="fn5"/>
      <w:bookmarkEnd w:id="66"/>
      <w:r w:rsidRPr="000B76A6">
        <w:rPr>
          <w:rFonts w:ascii="Verdana" w:eastAsia="Times New Roman" w:hAnsi="Verdana" w:cs="Times New Roman"/>
          <w:color w:val="000000"/>
          <w:sz w:val="20"/>
          <w:szCs w:val="20"/>
          <w:vertAlign w:val="superscript"/>
          <w:lang w:eastAsia="es-EC"/>
        </w:rPr>
        <w:t>5</w:t>
      </w:r>
      <w:r w:rsidRPr="000B76A6">
        <w:rPr>
          <w:rFonts w:ascii="Verdana" w:eastAsia="Times New Roman" w:hAnsi="Verdana" w:cs="Times New Roman"/>
          <w:color w:val="000000"/>
          <w:sz w:val="20"/>
          <w:szCs w:val="20"/>
          <w:lang w:eastAsia="es-EC"/>
        </w:rPr>
        <w:t>Contenido en circular del Consejo General del Colegio de Abogados, de 12 de septiembre de 1960, reproducido en PARDO (1969), pp. 27-28.</w:t>
      </w:r>
    </w:p>
    <w:p w14:paraId="38F1196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7" w:name="fn6"/>
      <w:bookmarkEnd w:id="67"/>
      <w:r w:rsidRPr="000B76A6">
        <w:rPr>
          <w:rFonts w:ascii="Verdana" w:eastAsia="Times New Roman" w:hAnsi="Verdana" w:cs="Times New Roman"/>
          <w:color w:val="000000"/>
          <w:sz w:val="20"/>
          <w:szCs w:val="20"/>
          <w:vertAlign w:val="superscript"/>
          <w:lang w:eastAsia="es-EC"/>
        </w:rPr>
        <w:t>6</w:t>
      </w:r>
      <w:r w:rsidRPr="000B76A6">
        <w:rPr>
          <w:rFonts w:ascii="Verdana" w:eastAsia="Times New Roman" w:hAnsi="Verdana" w:cs="Times New Roman"/>
          <w:color w:val="000000"/>
          <w:sz w:val="20"/>
          <w:szCs w:val="20"/>
          <w:lang w:eastAsia="es-EC"/>
        </w:rPr>
        <w:t>Una reiteración de dicha doctrina se encuentra en fallo pronunciado en sesión de 27 de marzo de 1957. </w:t>
      </w:r>
      <w:r w:rsidRPr="000B76A6">
        <w:rPr>
          <w:rFonts w:ascii="Verdana" w:eastAsia="Times New Roman" w:hAnsi="Verdana" w:cs="Times New Roman"/>
          <w:i/>
          <w:iCs/>
          <w:color w:val="000000"/>
          <w:sz w:val="20"/>
          <w:szCs w:val="20"/>
          <w:lang w:eastAsia="es-EC"/>
        </w:rPr>
        <w:t>Libro de sesiones del Congreso General</w:t>
      </w:r>
      <w:r w:rsidRPr="000B76A6">
        <w:rPr>
          <w:rFonts w:ascii="Verdana" w:eastAsia="Times New Roman" w:hAnsi="Verdana" w:cs="Times New Roman"/>
          <w:color w:val="000000"/>
          <w:sz w:val="20"/>
          <w:szCs w:val="20"/>
          <w:lang w:eastAsia="es-EC"/>
        </w:rPr>
        <w:t> , n.° 13, p. 405, conforme lo extractado por PARDO (1969), pp. 42-43.</w:t>
      </w:r>
    </w:p>
    <w:p w14:paraId="1468724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8" w:name="fn7"/>
      <w:bookmarkEnd w:id="68"/>
      <w:r w:rsidRPr="000B76A6">
        <w:rPr>
          <w:rFonts w:ascii="Verdana" w:eastAsia="Times New Roman" w:hAnsi="Verdana" w:cs="Times New Roman"/>
          <w:color w:val="000000"/>
          <w:sz w:val="20"/>
          <w:szCs w:val="20"/>
          <w:vertAlign w:val="superscript"/>
          <w:lang w:eastAsia="es-EC"/>
        </w:rPr>
        <w:t>7</w:t>
      </w:r>
      <w:r w:rsidRPr="000B76A6">
        <w:rPr>
          <w:rFonts w:ascii="Verdana" w:eastAsia="Times New Roman" w:hAnsi="Verdana" w:cs="Times New Roman"/>
          <w:color w:val="000000"/>
          <w:sz w:val="20"/>
          <w:szCs w:val="20"/>
          <w:lang w:eastAsia="es-EC"/>
        </w:rPr>
        <w:t>Doctrina pronunciada en sesión de 26 de noviembre de 1959,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n.º 14, p. 442; sentencias de 22 de agosto y 24 de octubre de 1960,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n.º 15, pp. 375 y 391, respectivamente y sesión del 21 de agosto de 1961,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n.º 16, p. 73, reproducida en PARDO (1969), p. 43.</w:t>
      </w:r>
    </w:p>
    <w:p w14:paraId="05F4591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69" w:name="fn8"/>
      <w:bookmarkEnd w:id="69"/>
      <w:r w:rsidRPr="000B76A6">
        <w:rPr>
          <w:rFonts w:ascii="Verdana" w:eastAsia="Times New Roman" w:hAnsi="Verdana" w:cs="Times New Roman"/>
          <w:color w:val="000000"/>
          <w:sz w:val="20"/>
          <w:szCs w:val="20"/>
          <w:vertAlign w:val="superscript"/>
          <w:lang w:eastAsia="es-EC"/>
        </w:rPr>
        <w:t>8</w:t>
      </w:r>
      <w:r w:rsidRPr="000B76A6">
        <w:rPr>
          <w:rFonts w:ascii="Verdana" w:eastAsia="Times New Roman" w:hAnsi="Verdana" w:cs="Times New Roman"/>
          <w:color w:val="000000"/>
          <w:sz w:val="20"/>
          <w:szCs w:val="20"/>
          <w:lang w:eastAsia="es-EC"/>
        </w:rPr>
        <w:t>Sentencias de 28 de marzo y 3 de octubre de 1966,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1, reproducidas en PARDO (1969), pp. 43-44.</w:t>
      </w:r>
    </w:p>
    <w:p w14:paraId="0A0BB98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0" w:name="fn9"/>
      <w:bookmarkEnd w:id="70"/>
      <w:r w:rsidRPr="000B76A6">
        <w:rPr>
          <w:rFonts w:ascii="Verdana" w:eastAsia="Times New Roman" w:hAnsi="Verdana" w:cs="Times New Roman"/>
          <w:color w:val="000000"/>
          <w:sz w:val="20"/>
          <w:szCs w:val="20"/>
          <w:vertAlign w:val="superscript"/>
          <w:lang w:eastAsia="es-EC"/>
        </w:rPr>
        <w:t>9</w:t>
      </w:r>
      <w:r w:rsidRPr="000B76A6">
        <w:rPr>
          <w:rFonts w:ascii="Verdana" w:eastAsia="Times New Roman" w:hAnsi="Verdana" w:cs="Times New Roman"/>
          <w:color w:val="000000"/>
          <w:sz w:val="20"/>
          <w:szCs w:val="20"/>
          <w:lang w:eastAsia="es-EC"/>
        </w:rPr>
        <w:t>Sentencia de 10 de septiembre 1963,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 n.° 1, p. 372, reproducida en PARDO (1969), p. 43.</w:t>
      </w:r>
    </w:p>
    <w:p w14:paraId="7ED8490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1" w:name="fn10"/>
      <w:bookmarkEnd w:id="71"/>
      <w:r w:rsidRPr="000B76A6">
        <w:rPr>
          <w:rFonts w:ascii="Verdana" w:eastAsia="Times New Roman" w:hAnsi="Verdana" w:cs="Times New Roman"/>
          <w:color w:val="000000"/>
          <w:sz w:val="20"/>
          <w:szCs w:val="20"/>
          <w:vertAlign w:val="superscript"/>
          <w:lang w:eastAsia="es-EC"/>
        </w:rPr>
        <w:t>10</w:t>
      </w:r>
      <w:r w:rsidRPr="000B76A6">
        <w:rPr>
          <w:rFonts w:ascii="Verdana" w:eastAsia="Times New Roman" w:hAnsi="Verdana" w:cs="Times New Roman"/>
          <w:color w:val="000000"/>
          <w:sz w:val="20"/>
          <w:szCs w:val="20"/>
          <w:lang w:eastAsia="es-EC"/>
        </w:rPr>
        <w:t>Sentencia pronunciada en sesión de 12 de septiembre de 1960.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 n.° 15, pp. 379-380, reproducida en PARDO (1969), p. 42.</w:t>
      </w:r>
    </w:p>
    <w:p w14:paraId="4A76701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2" w:name="fn11"/>
      <w:bookmarkEnd w:id="72"/>
      <w:r w:rsidRPr="000B76A6">
        <w:rPr>
          <w:rFonts w:ascii="Verdana" w:eastAsia="Times New Roman" w:hAnsi="Verdana" w:cs="Times New Roman"/>
          <w:color w:val="000000"/>
          <w:sz w:val="20"/>
          <w:szCs w:val="20"/>
          <w:vertAlign w:val="superscript"/>
          <w:lang w:eastAsia="es-EC"/>
        </w:rPr>
        <w:t>11</w:t>
      </w:r>
      <w:r w:rsidRPr="000B76A6">
        <w:rPr>
          <w:rFonts w:ascii="Verdana" w:eastAsia="Times New Roman" w:hAnsi="Verdana" w:cs="Times New Roman"/>
          <w:color w:val="000000"/>
          <w:sz w:val="20"/>
          <w:szCs w:val="20"/>
          <w:lang w:eastAsia="es-EC"/>
        </w:rPr>
        <w:t>Sesión de 27 de agosto de 1927.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1, pp. 207-208; sesión de 17 de octubre de 1952,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11, p. 11, reproducidas en PARDO (1969), p. 36.</w:t>
      </w:r>
    </w:p>
    <w:p w14:paraId="3CB7784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3" w:name="fn12"/>
      <w:bookmarkEnd w:id="73"/>
      <w:r w:rsidRPr="000B76A6">
        <w:rPr>
          <w:rFonts w:ascii="Verdana" w:eastAsia="Times New Roman" w:hAnsi="Verdana" w:cs="Times New Roman"/>
          <w:color w:val="000000"/>
          <w:sz w:val="20"/>
          <w:szCs w:val="20"/>
          <w:vertAlign w:val="superscript"/>
          <w:lang w:eastAsia="es-EC"/>
        </w:rPr>
        <w:t>12</w:t>
      </w:r>
      <w:r w:rsidRPr="000B76A6">
        <w:rPr>
          <w:rFonts w:ascii="Verdana" w:eastAsia="Times New Roman" w:hAnsi="Verdana" w:cs="Times New Roman"/>
          <w:color w:val="000000"/>
          <w:sz w:val="20"/>
          <w:szCs w:val="20"/>
          <w:lang w:eastAsia="es-EC"/>
        </w:rPr>
        <w:t>Sesión de 25 de marzo de 1943.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7, p. 314; sentencias de 29 de septiembre y 24 de noviembre de 1950,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10, p. 63 y 89, respectivamente; Sesión de 23 de julio de 1962, </w:t>
      </w:r>
      <w:r w:rsidRPr="000B76A6">
        <w:rPr>
          <w:rFonts w:ascii="Verdana" w:eastAsia="Times New Roman" w:hAnsi="Verdana" w:cs="Times New Roman"/>
          <w:i/>
          <w:iCs/>
          <w:color w:val="000000"/>
          <w:sz w:val="20"/>
          <w:szCs w:val="20"/>
          <w:lang w:eastAsia="es-EC"/>
        </w:rPr>
        <w:t>Libro de sesiones del Consejo eneral,</w:t>
      </w:r>
      <w:r w:rsidRPr="000B76A6">
        <w:rPr>
          <w:rFonts w:ascii="Verdana" w:eastAsia="Times New Roman" w:hAnsi="Verdana" w:cs="Times New Roman"/>
          <w:color w:val="000000"/>
          <w:sz w:val="20"/>
          <w:szCs w:val="20"/>
          <w:lang w:eastAsia="es-EC"/>
        </w:rPr>
        <w:t> n.° 17, p. 25, reproducidas en PARDO (1969), p. 106.</w:t>
      </w:r>
    </w:p>
    <w:p w14:paraId="658E05A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4" w:name="fn13"/>
      <w:bookmarkEnd w:id="74"/>
      <w:r w:rsidRPr="000B76A6">
        <w:rPr>
          <w:rFonts w:ascii="Verdana" w:eastAsia="Times New Roman" w:hAnsi="Verdana" w:cs="Times New Roman"/>
          <w:color w:val="000000"/>
          <w:sz w:val="20"/>
          <w:szCs w:val="20"/>
          <w:vertAlign w:val="superscript"/>
          <w:lang w:eastAsia="es-EC"/>
        </w:rPr>
        <w:t>13</w:t>
      </w:r>
      <w:r w:rsidRPr="000B76A6">
        <w:rPr>
          <w:rFonts w:ascii="Verdana" w:eastAsia="Times New Roman" w:hAnsi="Verdana" w:cs="Times New Roman"/>
          <w:color w:val="000000"/>
          <w:sz w:val="20"/>
          <w:szCs w:val="20"/>
          <w:lang w:eastAsia="es-EC"/>
        </w:rPr>
        <w:t>Sesión de 23 de julio de 1962,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17, p. 25, reproducida en PARDO (1969), p. 106.</w:t>
      </w:r>
    </w:p>
    <w:p w14:paraId="147C751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5" w:name="fn14"/>
      <w:bookmarkEnd w:id="75"/>
      <w:r w:rsidRPr="000B76A6">
        <w:rPr>
          <w:rFonts w:ascii="Verdana" w:eastAsia="Times New Roman" w:hAnsi="Verdana" w:cs="Times New Roman"/>
          <w:color w:val="000000"/>
          <w:sz w:val="20"/>
          <w:szCs w:val="20"/>
          <w:vertAlign w:val="superscript"/>
          <w:lang w:eastAsia="es-EC"/>
        </w:rPr>
        <w:t>14</w:t>
      </w:r>
      <w:r w:rsidRPr="000B76A6">
        <w:rPr>
          <w:rFonts w:ascii="Verdana" w:eastAsia="Times New Roman" w:hAnsi="Verdana" w:cs="Times New Roman"/>
          <w:color w:val="000000"/>
          <w:sz w:val="20"/>
          <w:szCs w:val="20"/>
          <w:lang w:eastAsia="es-EC"/>
        </w:rPr>
        <w:t>Sesión de 18 de marzo de 1949.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9, pp. 262-263; sesión de 3 de septiembre de 1960, </w:t>
      </w:r>
      <w:r w:rsidRPr="000B76A6">
        <w:rPr>
          <w:rFonts w:ascii="Verdana" w:eastAsia="Times New Roman" w:hAnsi="Verdana" w:cs="Times New Roman"/>
          <w:i/>
          <w:iCs/>
          <w:color w:val="000000"/>
          <w:sz w:val="20"/>
          <w:szCs w:val="20"/>
          <w:lang w:eastAsia="es-EC"/>
        </w:rPr>
        <w:t>Libro de sesiones del Consejo General,</w:t>
      </w:r>
      <w:r w:rsidRPr="000B76A6">
        <w:rPr>
          <w:rFonts w:ascii="Verdana" w:eastAsia="Times New Roman" w:hAnsi="Verdana" w:cs="Times New Roman"/>
          <w:color w:val="000000"/>
          <w:sz w:val="20"/>
          <w:szCs w:val="20"/>
          <w:lang w:eastAsia="es-EC"/>
        </w:rPr>
        <w:t> n.° 15, p. 309, reproducidas en PARDO (1969), p. 135.</w:t>
      </w:r>
    </w:p>
    <w:p w14:paraId="05A4085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6" w:name="fn15"/>
      <w:bookmarkEnd w:id="76"/>
      <w:r w:rsidRPr="000B76A6">
        <w:rPr>
          <w:rFonts w:ascii="Verdana" w:eastAsia="Times New Roman" w:hAnsi="Verdana" w:cs="Times New Roman"/>
          <w:color w:val="000000"/>
          <w:sz w:val="20"/>
          <w:szCs w:val="20"/>
          <w:vertAlign w:val="superscript"/>
          <w:lang w:eastAsia="es-EC"/>
        </w:rPr>
        <w:t>15</w:t>
      </w:r>
      <w:r w:rsidRPr="000B76A6">
        <w:rPr>
          <w:rFonts w:ascii="Verdana" w:eastAsia="Times New Roman" w:hAnsi="Verdana" w:cs="Times New Roman"/>
          <w:i/>
          <w:iCs/>
          <w:color w:val="000000"/>
          <w:sz w:val="20"/>
          <w:szCs w:val="20"/>
          <w:lang w:eastAsia="es-EC"/>
        </w:rPr>
        <w:t>Rules of professional conduct</w:t>
      </w:r>
      <w:r w:rsidRPr="000B76A6">
        <w:rPr>
          <w:rFonts w:ascii="Verdana" w:eastAsia="Times New Roman" w:hAnsi="Verdana" w:cs="Times New Roman"/>
          <w:color w:val="000000"/>
          <w:sz w:val="20"/>
          <w:szCs w:val="20"/>
          <w:lang w:eastAsia="es-EC"/>
        </w:rPr>
        <w:t> (2017), 3.3: “Conduct Before a Tribunal (d) In an ex parte proceeding, a lawyer shall inform the tribunal of all material facts known to the lawyer that will enable the tribunal to make an informed decision, whether or not the facts are adverse. (e) In presenting a matter to a tribunal, a lawyer shall disclose, unless privileged or irrelevant, the identities of the clients the lawyer represents and of the persons who employed the lawyer”. Un procedimiento </w:t>
      </w:r>
      <w:r w:rsidRPr="000B76A6">
        <w:rPr>
          <w:rFonts w:ascii="Verdana" w:eastAsia="Times New Roman" w:hAnsi="Verdana" w:cs="Times New Roman"/>
          <w:i/>
          <w:iCs/>
          <w:color w:val="000000"/>
          <w:sz w:val="20"/>
          <w:szCs w:val="20"/>
          <w:lang w:eastAsia="es-EC"/>
        </w:rPr>
        <w:t>ex parte</w:t>
      </w:r>
      <w:r w:rsidRPr="000B76A6">
        <w:rPr>
          <w:rFonts w:ascii="Verdana" w:eastAsia="Times New Roman" w:hAnsi="Verdana" w:cs="Times New Roman"/>
          <w:color w:val="000000"/>
          <w:sz w:val="20"/>
          <w:szCs w:val="20"/>
          <w:lang w:eastAsia="es-EC"/>
        </w:rPr>
        <w:t> es aquel que se lleva a cabo a petición o con presencia de una sola de las partes, sin notificar o dar traslado a la contraria.</w:t>
      </w:r>
    </w:p>
    <w:p w14:paraId="00E17C9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7" w:name="fn16"/>
      <w:bookmarkEnd w:id="77"/>
      <w:r w:rsidRPr="000B76A6">
        <w:rPr>
          <w:rFonts w:ascii="Verdana" w:eastAsia="Times New Roman" w:hAnsi="Verdana" w:cs="Times New Roman"/>
          <w:color w:val="000000"/>
          <w:sz w:val="20"/>
          <w:szCs w:val="20"/>
          <w:vertAlign w:val="superscript"/>
          <w:lang w:eastAsia="es-EC"/>
        </w:rPr>
        <w:t>16</w:t>
      </w:r>
      <w:r w:rsidRPr="000B76A6">
        <w:rPr>
          <w:rFonts w:ascii="Verdana" w:eastAsia="Times New Roman" w:hAnsi="Verdana" w:cs="Times New Roman"/>
          <w:i/>
          <w:iCs/>
          <w:color w:val="000000"/>
          <w:sz w:val="20"/>
          <w:szCs w:val="20"/>
          <w:lang w:eastAsia="es-EC"/>
        </w:rPr>
        <w:t>Model Code of Professional Conduct</w:t>
      </w:r>
      <w:r w:rsidRPr="000B76A6">
        <w:rPr>
          <w:rFonts w:ascii="Verdana" w:eastAsia="Times New Roman" w:hAnsi="Verdana" w:cs="Times New Roman"/>
          <w:color w:val="000000"/>
          <w:sz w:val="20"/>
          <w:szCs w:val="20"/>
          <w:lang w:eastAsia="es-EC"/>
        </w:rPr>
        <w:t> (2019). Énfasis agregado.</w:t>
      </w:r>
    </w:p>
    <w:p w14:paraId="6574F45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8" w:name="fn17"/>
      <w:bookmarkEnd w:id="78"/>
      <w:r w:rsidRPr="000B76A6">
        <w:rPr>
          <w:rFonts w:ascii="Verdana" w:eastAsia="Times New Roman" w:hAnsi="Verdana" w:cs="Times New Roman"/>
          <w:color w:val="000000"/>
          <w:sz w:val="20"/>
          <w:szCs w:val="20"/>
          <w:vertAlign w:val="superscript"/>
          <w:lang w:eastAsia="es-EC"/>
        </w:rPr>
        <w:t>17</w:t>
      </w:r>
      <w:r w:rsidRPr="000B76A6">
        <w:rPr>
          <w:rFonts w:ascii="Verdana" w:eastAsia="Times New Roman" w:hAnsi="Verdana" w:cs="Times New Roman"/>
          <w:i/>
          <w:iCs/>
          <w:color w:val="000000"/>
          <w:sz w:val="20"/>
          <w:szCs w:val="20"/>
          <w:lang w:eastAsia="es-EC"/>
        </w:rPr>
        <w:t>Model Code of Professional Conduct</w:t>
      </w:r>
      <w:r w:rsidRPr="000B76A6">
        <w:rPr>
          <w:rFonts w:ascii="Verdana" w:eastAsia="Times New Roman" w:hAnsi="Verdana" w:cs="Times New Roman"/>
          <w:color w:val="000000"/>
          <w:sz w:val="20"/>
          <w:szCs w:val="20"/>
          <w:lang w:eastAsia="es-EC"/>
        </w:rPr>
        <w:t> (2019), Commentary [1]. Énfasis agregado.</w:t>
      </w:r>
    </w:p>
    <w:p w14:paraId="52CF48E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79" w:name="fn18"/>
      <w:bookmarkEnd w:id="79"/>
      <w:r w:rsidRPr="000B76A6">
        <w:rPr>
          <w:rFonts w:ascii="Verdana" w:eastAsia="Times New Roman" w:hAnsi="Verdana" w:cs="Times New Roman"/>
          <w:color w:val="000000"/>
          <w:sz w:val="20"/>
          <w:szCs w:val="20"/>
          <w:vertAlign w:val="superscript"/>
          <w:lang w:eastAsia="es-EC"/>
        </w:rPr>
        <w:t>18</w:t>
      </w:r>
      <w:r w:rsidRPr="000B76A6">
        <w:rPr>
          <w:rFonts w:ascii="Verdana" w:eastAsia="Times New Roman" w:hAnsi="Verdana" w:cs="Times New Roman"/>
          <w:i/>
          <w:iCs/>
          <w:color w:val="000000"/>
          <w:sz w:val="20"/>
          <w:szCs w:val="20"/>
          <w:lang w:eastAsia="es-EC"/>
        </w:rPr>
        <w:t>Código Deontológico de la Abogacía Española</w:t>
      </w:r>
      <w:r w:rsidRPr="000B76A6">
        <w:rPr>
          <w:rFonts w:ascii="Verdana" w:eastAsia="Times New Roman" w:hAnsi="Verdana" w:cs="Times New Roman"/>
          <w:color w:val="000000"/>
          <w:sz w:val="20"/>
          <w:szCs w:val="20"/>
          <w:lang w:eastAsia="es-EC"/>
        </w:rPr>
        <w:t> (2019). Al respecto, es interesante esta doctrina española: “Hemos de referirnos a la relación que existe entre las labores de asesoramiento del Abogado y los deberes de identificación personal y real [examen de transacciones] de los clientes. Respecto a los primeros, opinamos que no es posible el asesoramiento de un cliente que no desea identificarse, pues el tan repetido art. 13.2 del Código Deontológico de la Abogacía Española reclama como requisito para el Abogado que vaya a encargarse de un asunto, </w:t>
      </w:r>
      <w:r w:rsidRPr="000B76A6">
        <w:rPr>
          <w:rFonts w:ascii="Verdana" w:eastAsia="Times New Roman" w:hAnsi="Verdana" w:cs="Times New Roman"/>
          <w:i/>
          <w:iCs/>
          <w:color w:val="000000"/>
          <w:sz w:val="20"/>
          <w:szCs w:val="20"/>
          <w:lang w:eastAsia="es-EC"/>
        </w:rPr>
        <w:t>lato sensu,</w:t>
      </w:r>
      <w:r w:rsidRPr="000B76A6">
        <w:rPr>
          <w:rFonts w:ascii="Verdana" w:eastAsia="Times New Roman" w:hAnsi="Verdana" w:cs="Times New Roman"/>
          <w:color w:val="000000"/>
          <w:sz w:val="20"/>
          <w:szCs w:val="20"/>
          <w:lang w:eastAsia="es-EC"/>
        </w:rPr>
        <w:t> la previa comprobación de </w:t>
      </w:r>
      <w:r w:rsidRPr="000B76A6">
        <w:rPr>
          <w:rFonts w:ascii="Verdana" w:eastAsia="Times New Roman" w:hAnsi="Verdana" w:cs="Times New Roman"/>
          <w:i/>
          <w:iCs/>
          <w:color w:val="000000"/>
          <w:sz w:val="20"/>
          <w:szCs w:val="20"/>
          <w:lang w:eastAsia="es-EC"/>
        </w:rPr>
        <w:t>la identidad y facultades de quien efectúe el encargo</w:t>
      </w:r>
      <w:r w:rsidRPr="000B76A6">
        <w:rPr>
          <w:rFonts w:ascii="Verdana" w:eastAsia="Times New Roman" w:hAnsi="Verdana" w:cs="Times New Roman"/>
          <w:color w:val="000000"/>
          <w:sz w:val="20"/>
          <w:szCs w:val="20"/>
          <w:lang w:eastAsia="es-EC"/>
        </w:rPr>
        <w:t> ; esto es, parece justificado que la respuesta jurídica del Letrado a la propuesta de su interlocutor se supedite a la acreditación de sus datos de filiación o residencia, a fin de evitar una posible utilización artera de la labor del Abogado [...] La obligación, además, es reciproca, por cuanto el art. 42.3 E.G.A.”. CORTÉS (2003), pp. 174-175. Énfasis en el original. El Estatuto General de la Abogacía, previo a su reforma de 2021, rezaba así: “En todo caso el abogado deberá identificarse ante la persona a la que asesore o defienda, incluso cuando lo hiciere por cuenta de un tercero, a fin de asumir las responsabilidades civiles, penales y deontológicas que, en su caso, correspondan” (art 42.3).</w:t>
      </w:r>
    </w:p>
    <w:p w14:paraId="752CEFA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0" w:name="fn19"/>
      <w:bookmarkEnd w:id="80"/>
      <w:r w:rsidRPr="000B76A6">
        <w:rPr>
          <w:rFonts w:ascii="Verdana" w:eastAsia="Times New Roman" w:hAnsi="Verdana" w:cs="Times New Roman"/>
          <w:color w:val="000000"/>
          <w:sz w:val="20"/>
          <w:szCs w:val="20"/>
          <w:vertAlign w:val="superscript"/>
          <w:lang w:eastAsia="es-EC"/>
        </w:rPr>
        <w:t>19</w:t>
      </w:r>
      <w:r w:rsidRPr="000B76A6">
        <w:rPr>
          <w:rFonts w:ascii="Verdana" w:eastAsia="Times New Roman" w:hAnsi="Verdana" w:cs="Times New Roman"/>
          <w:color w:val="000000"/>
          <w:sz w:val="20"/>
          <w:szCs w:val="20"/>
          <w:lang w:eastAsia="es-EC"/>
        </w:rPr>
        <w:t>Real decreto 135/2021. Por otra parte, la sentencia del Tribunal Constitucional español (1984) estableció: “El recurrente invoca también en apoyo de su tesis la protección del secreto profesional y la del secreto bancario. Se trata, como es notorio, de cuestiones muy distintas y sumamente complejas que presentan problemas considerablemente variados y de diverso alcance. Basta aquí referirse a lo que es necesario para el tema del recurso. El secreto profesional, es decir, el deber de secreto que se impone a determinadas personas, entre ellas los Abogados, de lo que conocieren por razón de su profesión, viene reconocido expresamente por la Constitución [...]. Evidentemente, y a fortiori, tampoco existe el deber de declarar a la Administración sobre esos hechos. La Constitución consagra aquí lo que es no un derecho, sino un deber de ciertos profesionales que tienen una larga tradición legislativa [...] . Es evidente que si el secreto es obligado e incluso su violación es castigada penalmente [...] , la Inspección Fiscal no puede pretender que se viole. Pero también en este punto son aplicables algunas de las consideraciones anteriores.La exigencia de exigir las certificaciones del movimiento de las cuentas no viola en sí el secreto profesional, puesto que, como se ha advertido, en ellas sólo aparece la causa genérica de cada operación bancaria y no el contenido concreto de la relación subyacente. </w:t>
      </w:r>
      <w:r w:rsidRPr="000B76A6">
        <w:rPr>
          <w:rFonts w:ascii="Verdana" w:eastAsia="Times New Roman" w:hAnsi="Verdana" w:cs="Times New Roman"/>
          <w:i/>
          <w:iCs/>
          <w:color w:val="000000"/>
          <w:sz w:val="20"/>
          <w:szCs w:val="20"/>
          <w:lang w:eastAsia="es-EC"/>
        </w:rPr>
        <w:t>Tampoco vulneraría el secreto profesional el simple conocimiento del nombre del cliente y de las cantidades pagadas por él en concepto de honorarios, ya que estos datos deben figurar en el libro de ingresos profesionales, de obligada llevanza y exhibición a la Inspección. La cuestión podría suscitarse si la Inspección, al pedir los antecedentes y datos de determinadas operaciones, penetrase en el ámbito de las relaciones profesionales concretas entre el cliente y, en este caso, el Abogado. Sólo entonces podría y debería negarse el contribuyente a facilitar datos que supusiesen la violación del secreto profesional.</w:t>
      </w:r>
      <w:r w:rsidRPr="000B76A6">
        <w:rPr>
          <w:rFonts w:ascii="Verdana" w:eastAsia="Times New Roman" w:hAnsi="Verdana" w:cs="Times New Roman"/>
          <w:color w:val="000000"/>
          <w:sz w:val="20"/>
          <w:szCs w:val="20"/>
          <w:lang w:eastAsia="es-EC"/>
        </w:rPr>
        <w:t> Es posible también que no existiese acuerdo sobre cuál es la zona específica de relaciones cubiertas por el secreto profesional cuya delimitación puede ofrecer dificultades en ciertos casos. Pero para eso están los Tribunales de Justicia. La cuestión, en último término, no puede resolverse de forma abstracta, sino sobre cada caso concreto (fundamento jurídico 10)”. Énfasis agregado.</w:t>
      </w:r>
    </w:p>
    <w:p w14:paraId="57F1DD4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1" w:name="fn20"/>
      <w:bookmarkEnd w:id="81"/>
      <w:r w:rsidRPr="000B76A6">
        <w:rPr>
          <w:rFonts w:ascii="Verdana" w:eastAsia="Times New Roman" w:hAnsi="Verdana" w:cs="Times New Roman"/>
          <w:color w:val="000000"/>
          <w:sz w:val="20"/>
          <w:szCs w:val="20"/>
          <w:vertAlign w:val="superscript"/>
          <w:lang w:eastAsia="es-EC"/>
        </w:rPr>
        <w:t>20</w:t>
      </w:r>
      <w:r w:rsidRPr="000B76A6">
        <w:rPr>
          <w:rFonts w:ascii="Verdana" w:eastAsia="Times New Roman" w:hAnsi="Verdana" w:cs="Times New Roman"/>
          <w:i/>
          <w:iCs/>
          <w:color w:val="000000"/>
          <w:sz w:val="20"/>
          <w:szCs w:val="20"/>
          <w:lang w:eastAsia="es-EC"/>
        </w:rPr>
        <w:t>Código de Ética del Abogado</w:t>
      </w:r>
      <w:r w:rsidRPr="000B76A6">
        <w:rPr>
          <w:rFonts w:ascii="Verdana" w:eastAsia="Times New Roman" w:hAnsi="Verdana" w:cs="Times New Roman"/>
          <w:color w:val="000000"/>
          <w:sz w:val="20"/>
          <w:szCs w:val="20"/>
          <w:lang w:eastAsia="es-EC"/>
        </w:rPr>
        <w:t> (2012). Esta norma cabe concordarla con el art. 109 del </w:t>
      </w:r>
      <w:r w:rsidRPr="000B76A6">
        <w:rPr>
          <w:rFonts w:ascii="Verdana" w:eastAsia="Times New Roman" w:hAnsi="Verdana" w:cs="Times New Roman"/>
          <w:i/>
          <w:iCs/>
          <w:color w:val="000000"/>
          <w:sz w:val="20"/>
          <w:szCs w:val="20"/>
          <w:lang w:eastAsia="es-EC"/>
        </w:rPr>
        <w:t>Código Procesal Civil</w:t>
      </w:r>
      <w:r w:rsidRPr="000B76A6">
        <w:rPr>
          <w:rFonts w:ascii="Verdana" w:eastAsia="Times New Roman" w:hAnsi="Verdana" w:cs="Times New Roman"/>
          <w:color w:val="000000"/>
          <w:sz w:val="20"/>
          <w:szCs w:val="20"/>
          <w:lang w:eastAsia="es-EC"/>
        </w:rPr>
        <w:t> peruano (“Son deberes de las partes, Abogados y apoderados: 1. Proceder con veracidad, probidad, lealtad y buena fe en todos sus actos e intervenciones en el proceso; 2. No actuar temerariamente en el ejercicio de sus derechos procesales”) y art. 288 n.° 3 de la Ley Orgánica del Poder Judicial peruana (“Son deberes del Abogado Patrocinante: 3. Defender con sujeción a las leyes, la verdad de los hechos y las normas del Código de Ética Profesional”) del Perú. BOZA </w:t>
      </w:r>
      <w:r w:rsidRPr="000B76A6">
        <w:rPr>
          <w:rFonts w:ascii="Verdana" w:eastAsia="Times New Roman" w:hAnsi="Verdana" w:cs="Times New Roman"/>
          <w:i/>
          <w:iCs/>
          <w:color w:val="000000"/>
          <w:sz w:val="20"/>
          <w:szCs w:val="20"/>
          <w:lang w:eastAsia="es-EC"/>
        </w:rPr>
        <w:t>et al.</w:t>
      </w:r>
      <w:r w:rsidRPr="000B76A6">
        <w:rPr>
          <w:rFonts w:ascii="Verdana" w:eastAsia="Times New Roman" w:hAnsi="Verdana" w:cs="Times New Roman"/>
          <w:color w:val="000000"/>
          <w:sz w:val="20"/>
          <w:szCs w:val="20"/>
          <w:lang w:eastAsia="es-EC"/>
        </w:rPr>
        <w:t> (2019), p. 143.</w:t>
      </w:r>
    </w:p>
    <w:p w14:paraId="74C325A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2" w:name="fn21"/>
      <w:bookmarkEnd w:id="82"/>
      <w:r w:rsidRPr="000B76A6">
        <w:rPr>
          <w:rFonts w:ascii="Verdana" w:eastAsia="Times New Roman" w:hAnsi="Verdana" w:cs="Times New Roman"/>
          <w:color w:val="000000"/>
          <w:sz w:val="20"/>
          <w:szCs w:val="20"/>
          <w:vertAlign w:val="superscript"/>
          <w:lang w:eastAsia="es-EC"/>
        </w:rPr>
        <w:t>21</w:t>
      </w:r>
      <w:r w:rsidRPr="000B76A6">
        <w:rPr>
          <w:rFonts w:ascii="Verdana" w:eastAsia="Times New Roman" w:hAnsi="Verdana" w:cs="Times New Roman"/>
          <w:color w:val="000000"/>
          <w:sz w:val="20"/>
          <w:szCs w:val="20"/>
          <w:lang w:eastAsia="es-EC"/>
        </w:rPr>
        <w:t>Al respecto, se ha escrito: “El CEP-2011 introduce una regulación novedosa en materia de secreto profesional. Es también una regulación extensa. En lugar de los tres artículos que el CEP-1948 destinaba a esta materia –arts. 10, 11 y 12–, el CEP-2011 le dedica 15 disposiciones, ubicadas en cuatro apartados diversos [...] La nueva regulación se desembaraza de todos los problemas de calificación de la información como protegida por el deber de confidencialidad atendiendo a la fuente de la información, al modo concreto de su adquisición o producción por el abogado y a su contenido específico. Toda información relativa al cliente se encuentra ahora bajo deber de confidencialidad. Esto requiere una regla que autorice el uso de la información en interés del cliente bajo la figura del consentimiento presunto, lo cual es otra novedad de la regulación del CEP-2011”. BASCUÑÁN (2011), pp. 222-223 y 228.</w:t>
      </w:r>
    </w:p>
    <w:p w14:paraId="7D87E28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3" w:name="fn22"/>
      <w:bookmarkEnd w:id="83"/>
      <w:r w:rsidRPr="000B76A6">
        <w:rPr>
          <w:rFonts w:ascii="Verdana" w:eastAsia="Times New Roman" w:hAnsi="Verdana" w:cs="Times New Roman"/>
          <w:color w:val="000000"/>
          <w:sz w:val="20"/>
          <w:szCs w:val="20"/>
          <w:vertAlign w:val="superscript"/>
          <w:lang w:eastAsia="es-EC"/>
        </w:rPr>
        <w:t>22</w:t>
      </w:r>
      <w:r w:rsidRPr="000B76A6">
        <w:rPr>
          <w:rFonts w:ascii="Verdana" w:eastAsia="Times New Roman" w:hAnsi="Verdana" w:cs="Times New Roman"/>
          <w:color w:val="000000"/>
          <w:sz w:val="20"/>
          <w:szCs w:val="20"/>
          <w:lang w:eastAsia="es-EC"/>
        </w:rPr>
        <w:t>Sobre esta distinción se ha escrito: “La diferenciación entre ambas instituciones [deber de confidencialidad y secreto profesional] se basa en tres órdenes de consideraciones: una analítica, una sistemática y una valorativa. Analíticamente, la diferencia entre el deber de confidencialidad y el secreto profesional corresponde a la diferencia que existe entre una norma de comportamiento (prohibición/imperativo) aplicable prima facie a un caso y la solución de una antinomia afirmando la preponderancia de esa norma. El secreto profesional es la exención al deber de declarar o informar en colisión con el deber de confidencialidad que afirma la preponderancia de éste respecto de aquél. Sistemáticamente, la diferencia entre el deber de confidencialidad y el secreto profesional corresponde a la diferencia que existe entre una norma de comportamiento estatutaria (corporativa) y una exención jurídica que hace posible el cumplimiento de la norma de comportamiento estatutaria. Esta diferencia es contingente: si la ética profesional del abogado estuviera regulada por ley, ella desaparecería. En las actuales condiciones institucionales de aprobación del CEP 2011, la diferencia es no obstante crucial. Valorativamente, la diferencia entre el deber de confidencialidad y el secreto profesional corresponde a la diferencia que debe existir entre los fundamentos del primero y los fundamentos de su consideración como deber preponderante en caso de colisión con un deber legal de informar o declarar”. BASCUÑÁN (2011), p. 249. En términos similares LÓPEZ (2019) y ANRÍQUEZ Y VARGAS (2021).</w:t>
      </w:r>
    </w:p>
    <w:p w14:paraId="610A999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4" w:name="fn23"/>
      <w:bookmarkEnd w:id="84"/>
      <w:r w:rsidRPr="000B76A6">
        <w:rPr>
          <w:rFonts w:ascii="Verdana" w:eastAsia="Times New Roman" w:hAnsi="Verdana" w:cs="Times New Roman"/>
          <w:color w:val="000000"/>
          <w:sz w:val="20"/>
          <w:szCs w:val="20"/>
          <w:vertAlign w:val="superscript"/>
          <w:lang w:eastAsia="es-EC"/>
        </w:rPr>
        <w:t>23</w:t>
      </w:r>
      <w:r w:rsidRPr="000B76A6">
        <w:rPr>
          <w:rFonts w:ascii="Verdana" w:eastAsia="Times New Roman" w:hAnsi="Verdana" w:cs="Times New Roman"/>
          <w:color w:val="000000"/>
          <w:sz w:val="20"/>
          <w:szCs w:val="20"/>
          <w:lang w:eastAsia="es-EC"/>
        </w:rPr>
        <w:t>Históricamente conocido como </w:t>
      </w:r>
      <w:r w:rsidRPr="000B76A6">
        <w:rPr>
          <w:rFonts w:ascii="Verdana" w:eastAsia="Times New Roman" w:hAnsi="Verdana" w:cs="Times New Roman"/>
          <w:i/>
          <w:iCs/>
          <w:color w:val="000000"/>
          <w:sz w:val="20"/>
          <w:szCs w:val="20"/>
          <w:lang w:eastAsia="es-EC"/>
        </w:rPr>
        <w:t>attorney-client privilege</w:t>
      </w:r>
      <w:r w:rsidRPr="000B76A6">
        <w:rPr>
          <w:rFonts w:ascii="Verdana" w:eastAsia="Times New Roman" w:hAnsi="Verdana" w:cs="Times New Roman"/>
          <w:color w:val="000000"/>
          <w:sz w:val="20"/>
          <w:szCs w:val="20"/>
          <w:lang w:eastAsia="es-EC"/>
        </w:rPr>
        <w:t> , por cuanto en su primera etapa era considerado un derecho del abogado justificado en dos aspectos objetivos: el juramento prestado para ser admitido en el ejercicio profesional y el honor del abogado. </w:t>
      </w:r>
      <w:hyperlink r:id="rId99" w:anchor="B20" w:history="1">
        <w:r w:rsidRPr="000B76A6">
          <w:rPr>
            <w:rFonts w:ascii="Verdana" w:eastAsia="Times New Roman" w:hAnsi="Verdana" w:cs="Times New Roman"/>
            <w:color w:val="0000FF"/>
            <w:sz w:val="20"/>
            <w:szCs w:val="20"/>
            <w:u w:val="single"/>
            <w:vertAlign w:val="superscript"/>
            <w:lang w:eastAsia="es-EC"/>
          </w:rPr>
          <w:t>WIGMORE (1923)</w:t>
        </w:r>
      </w:hyperlink>
      <w:r w:rsidRPr="000B76A6">
        <w:rPr>
          <w:rFonts w:ascii="Verdana" w:eastAsia="Times New Roman" w:hAnsi="Verdana" w:cs="Times New Roman"/>
          <w:color w:val="000000"/>
          <w:sz w:val="20"/>
          <w:szCs w:val="20"/>
          <w:lang w:eastAsia="es-EC"/>
        </w:rPr>
        <w:t>, section §2290, p. 11. Todas las traducciones son propias, y eliminan las referencias cruzadas a otras secciones del mismo tratado. La terminología actual invierte dicho orden para enfatizar que se trata de un derecho del cliente, quien puede renunciarlo, y no del abogado, que tiene el deber de invocarlo ante requerimientos de declarar o exhibir.</w:t>
      </w:r>
    </w:p>
    <w:p w14:paraId="6EB2ADB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5" w:name="fn24"/>
      <w:bookmarkEnd w:id="85"/>
      <w:r w:rsidRPr="000B76A6">
        <w:rPr>
          <w:rFonts w:ascii="Verdana" w:eastAsia="Times New Roman" w:hAnsi="Verdana" w:cs="Times New Roman"/>
          <w:color w:val="000000"/>
          <w:sz w:val="20"/>
          <w:szCs w:val="20"/>
          <w:vertAlign w:val="superscript"/>
          <w:lang w:eastAsia="es-EC"/>
        </w:rPr>
        <w:t>24</w:t>
      </w:r>
      <w:r w:rsidRPr="000B76A6">
        <w:rPr>
          <w:rFonts w:ascii="Verdana" w:eastAsia="Times New Roman" w:hAnsi="Verdana" w:cs="Times New Roman"/>
          <w:color w:val="000000"/>
          <w:sz w:val="20"/>
          <w:szCs w:val="20"/>
          <w:lang w:eastAsia="es-EC"/>
        </w:rPr>
        <w:t>La formulación canónica del privilegio corresponde a John Henry Wigmore, uno de los tratadistas más influyentes en derecho probatorio perteneciente a la tradición del </w:t>
      </w:r>
      <w:r w:rsidRPr="000B76A6">
        <w:rPr>
          <w:rFonts w:ascii="Verdana" w:eastAsia="Times New Roman" w:hAnsi="Verdana" w:cs="Times New Roman"/>
          <w:i/>
          <w:iCs/>
          <w:color w:val="000000"/>
          <w:sz w:val="20"/>
          <w:szCs w:val="20"/>
          <w:lang w:eastAsia="es-EC"/>
        </w:rPr>
        <w:t>common law</w:t>
      </w:r>
      <w:r w:rsidRPr="000B76A6">
        <w:rPr>
          <w:rFonts w:ascii="Verdana" w:eastAsia="Times New Roman" w:hAnsi="Verdana" w:cs="Times New Roman"/>
          <w:color w:val="000000"/>
          <w:sz w:val="20"/>
          <w:szCs w:val="20"/>
          <w:lang w:eastAsia="es-EC"/>
        </w:rPr>
        <w:t> , quien identifica cuáles son los siguientes elementos que deben reunirse para que dicha exención opere al deber legal de declarar: “(1) Cuando se solicite asesoría legal de cualquier clase (2) a un asesor profesional del derecho en su calidad de tal, (3) las comunicaciones relacionadas con ese propósito, (4) realizadas de manera confidencial (5) por el cliente, (6) quedan a instancia del cliente permanentemente protegidas (7) de su divulgación por el mismo o por el asesor legal, (8) excepto cuando esta protección ha sido renunciada”. </w:t>
      </w:r>
      <w:hyperlink r:id="rId100" w:anchor="B20" w:history="1">
        <w:r w:rsidRPr="000B76A6">
          <w:rPr>
            <w:rFonts w:ascii="Verdana" w:eastAsia="Times New Roman" w:hAnsi="Verdana" w:cs="Times New Roman"/>
            <w:color w:val="0000FF"/>
            <w:sz w:val="20"/>
            <w:szCs w:val="20"/>
            <w:u w:val="single"/>
            <w:vertAlign w:val="superscript"/>
            <w:lang w:eastAsia="es-EC"/>
          </w:rPr>
          <w:t>WIGMORE (1923)</w:t>
        </w:r>
      </w:hyperlink>
      <w:r w:rsidRPr="000B76A6">
        <w:rPr>
          <w:rFonts w:ascii="Verdana" w:eastAsia="Times New Roman" w:hAnsi="Verdana" w:cs="Times New Roman"/>
          <w:color w:val="000000"/>
          <w:sz w:val="20"/>
          <w:szCs w:val="20"/>
          <w:lang w:eastAsia="es-EC"/>
        </w:rPr>
        <w:t>, section §2292, pp. 21-22.</w:t>
      </w:r>
    </w:p>
    <w:p w14:paraId="57BE1A7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6" w:name="fn25"/>
      <w:bookmarkEnd w:id="86"/>
      <w:r w:rsidRPr="000B76A6">
        <w:rPr>
          <w:rFonts w:ascii="Verdana" w:eastAsia="Times New Roman" w:hAnsi="Verdana" w:cs="Times New Roman"/>
          <w:color w:val="000000"/>
          <w:sz w:val="20"/>
          <w:szCs w:val="20"/>
          <w:vertAlign w:val="superscript"/>
          <w:lang w:eastAsia="es-EC"/>
        </w:rPr>
        <w:t>25</w:t>
      </w:r>
      <w:r w:rsidRPr="000B76A6">
        <w:rPr>
          <w:rFonts w:ascii="Verdana" w:eastAsia="Times New Roman" w:hAnsi="Verdana" w:cs="Times New Roman"/>
          <w:color w:val="000000"/>
          <w:sz w:val="20"/>
          <w:szCs w:val="20"/>
          <w:lang w:eastAsia="es-EC"/>
        </w:rPr>
        <w:t> </w:t>
      </w:r>
      <w:hyperlink r:id="rId101" w:anchor="B11" w:history="1">
        <w:r w:rsidRPr="000B76A6">
          <w:rPr>
            <w:rFonts w:ascii="Verdana" w:eastAsia="Times New Roman" w:hAnsi="Verdana" w:cs="Times New Roman"/>
            <w:color w:val="0000FF"/>
            <w:sz w:val="20"/>
            <w:szCs w:val="20"/>
            <w:u w:val="single"/>
            <w:vertAlign w:val="superscript"/>
            <w:lang w:eastAsia="es-EC"/>
          </w:rPr>
          <w:t>COMMENTS (1961)</w:t>
        </w:r>
      </w:hyperlink>
      <w:r w:rsidRPr="000B76A6">
        <w:rPr>
          <w:rFonts w:ascii="Verdana" w:eastAsia="Times New Roman" w:hAnsi="Verdana" w:cs="Times New Roman"/>
          <w:color w:val="000000"/>
          <w:sz w:val="20"/>
          <w:szCs w:val="20"/>
          <w:lang w:eastAsia="es-EC"/>
        </w:rPr>
        <w:t>, p. 534; </w:t>
      </w:r>
      <w:hyperlink r:id="rId102" w:anchor="B16" w:history="1">
        <w:r w:rsidRPr="000B76A6">
          <w:rPr>
            <w:rFonts w:ascii="Verdana" w:eastAsia="Times New Roman" w:hAnsi="Verdana" w:cs="Times New Roman"/>
            <w:color w:val="0000FF"/>
            <w:sz w:val="20"/>
            <w:szCs w:val="20"/>
            <w:u w:val="single"/>
            <w:vertAlign w:val="superscript"/>
            <w:lang w:eastAsia="es-EC"/>
          </w:rPr>
          <w:t>MILLER (1983)</w:t>
        </w:r>
      </w:hyperlink>
      <w:r w:rsidRPr="000B76A6">
        <w:rPr>
          <w:rFonts w:ascii="Verdana" w:eastAsia="Times New Roman" w:hAnsi="Verdana" w:cs="Times New Roman"/>
          <w:color w:val="000000"/>
          <w:sz w:val="20"/>
          <w:szCs w:val="20"/>
          <w:lang w:eastAsia="es-EC"/>
        </w:rPr>
        <w:t>, p. 198; </w:t>
      </w:r>
      <w:hyperlink r:id="rId103" w:anchor="B14" w:history="1">
        <w:r w:rsidRPr="000B76A6">
          <w:rPr>
            <w:rFonts w:ascii="Verdana" w:eastAsia="Times New Roman" w:hAnsi="Verdana" w:cs="Times New Roman"/>
            <w:color w:val="0000FF"/>
            <w:sz w:val="20"/>
            <w:szCs w:val="20"/>
            <w:u w:val="single"/>
            <w:vertAlign w:val="superscript"/>
            <w:lang w:eastAsia="es-EC"/>
          </w:rPr>
          <w:t>LAUTT (1991)</w:t>
        </w:r>
      </w:hyperlink>
      <w:r w:rsidRPr="000B76A6">
        <w:rPr>
          <w:rFonts w:ascii="Verdana" w:eastAsia="Times New Roman" w:hAnsi="Verdana" w:cs="Times New Roman"/>
          <w:color w:val="000000"/>
          <w:sz w:val="20"/>
          <w:szCs w:val="20"/>
          <w:lang w:eastAsia="es-EC"/>
        </w:rPr>
        <w:t>, p. 1053.</w:t>
      </w:r>
    </w:p>
    <w:p w14:paraId="330B40C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7" w:name="fn26"/>
      <w:bookmarkEnd w:id="87"/>
      <w:r w:rsidRPr="000B76A6">
        <w:rPr>
          <w:rFonts w:ascii="Verdana" w:eastAsia="Times New Roman" w:hAnsi="Verdana" w:cs="Times New Roman"/>
          <w:color w:val="000000"/>
          <w:sz w:val="20"/>
          <w:szCs w:val="20"/>
          <w:vertAlign w:val="superscript"/>
          <w:lang w:eastAsia="es-EC"/>
        </w:rPr>
        <w:t>26</w:t>
      </w:r>
      <w:r w:rsidRPr="000B76A6">
        <w:rPr>
          <w:rFonts w:ascii="Verdana" w:eastAsia="Times New Roman" w:hAnsi="Verdana" w:cs="Times New Roman"/>
          <w:color w:val="000000"/>
          <w:sz w:val="20"/>
          <w:szCs w:val="20"/>
          <w:lang w:eastAsia="es-EC"/>
        </w:rPr>
        <w:t>“La política pública [ </w:t>
      </w:r>
      <w:r w:rsidRPr="000B76A6">
        <w:rPr>
          <w:rFonts w:ascii="Verdana" w:eastAsia="Times New Roman" w:hAnsi="Verdana" w:cs="Times New Roman"/>
          <w:i/>
          <w:iCs/>
          <w:color w:val="000000"/>
          <w:sz w:val="20"/>
          <w:szCs w:val="20"/>
          <w:lang w:eastAsia="es-EC"/>
        </w:rPr>
        <w:t>policy</w:t>
      </w:r>
      <w:r w:rsidRPr="000B76A6">
        <w:rPr>
          <w:rFonts w:ascii="Verdana" w:eastAsia="Times New Roman" w:hAnsi="Verdana" w:cs="Times New Roman"/>
          <w:color w:val="000000"/>
          <w:sz w:val="20"/>
          <w:szCs w:val="20"/>
          <w:lang w:eastAsia="es-EC"/>
        </w:rPr>
        <w:t> ] del privilegio, desde la última parte de la década de 1700, se ha fundamentado claramente en consideraciones subjetivas. Con el fin de promover la libertad por parte de los clientes de consultar asesores legales, debe ser eliminado el temor de divulgación obligatoria por parte de los asesores legales; y, por lo tanto, la ley debe prohibir dicha divulgación excepto cuando cuente con el consentimiento del cliente. Tal es la teoría moderna”. </w:t>
      </w:r>
      <w:hyperlink r:id="rId104" w:anchor="B20" w:history="1">
        <w:r w:rsidRPr="000B76A6">
          <w:rPr>
            <w:rFonts w:ascii="Verdana" w:eastAsia="Times New Roman" w:hAnsi="Verdana" w:cs="Times New Roman"/>
            <w:color w:val="0000FF"/>
            <w:sz w:val="20"/>
            <w:szCs w:val="20"/>
            <w:u w:val="single"/>
            <w:vertAlign w:val="superscript"/>
            <w:lang w:eastAsia="es-EC"/>
          </w:rPr>
          <w:t>WIGMORE (1923)</w:t>
        </w:r>
      </w:hyperlink>
      <w:r w:rsidRPr="000B76A6">
        <w:rPr>
          <w:rFonts w:ascii="Verdana" w:eastAsia="Times New Roman" w:hAnsi="Verdana" w:cs="Times New Roman"/>
          <w:color w:val="000000"/>
          <w:sz w:val="20"/>
          <w:szCs w:val="20"/>
          <w:lang w:eastAsia="es-EC"/>
        </w:rPr>
        <w:t>, section §2291 p. 14.</w:t>
      </w:r>
    </w:p>
    <w:p w14:paraId="51C1909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8" w:name="fn27"/>
      <w:bookmarkEnd w:id="88"/>
      <w:r w:rsidRPr="000B76A6">
        <w:rPr>
          <w:rFonts w:ascii="Verdana" w:eastAsia="Times New Roman" w:hAnsi="Verdana" w:cs="Times New Roman"/>
          <w:color w:val="000000"/>
          <w:sz w:val="20"/>
          <w:szCs w:val="20"/>
          <w:vertAlign w:val="superscript"/>
          <w:lang w:eastAsia="es-EC"/>
        </w:rPr>
        <w:t>27</w:t>
      </w:r>
      <w:r w:rsidRPr="000B76A6">
        <w:rPr>
          <w:rFonts w:ascii="Verdana" w:eastAsia="Times New Roman" w:hAnsi="Verdana" w:cs="Times New Roman"/>
          <w:color w:val="000000"/>
          <w:sz w:val="20"/>
          <w:szCs w:val="20"/>
          <w:lang w:eastAsia="es-EC"/>
        </w:rPr>
        <w:t> </w:t>
      </w:r>
      <w:hyperlink r:id="rId105" w:anchor="B11" w:history="1">
        <w:r w:rsidRPr="000B76A6">
          <w:rPr>
            <w:rFonts w:ascii="Verdana" w:eastAsia="Times New Roman" w:hAnsi="Verdana" w:cs="Times New Roman"/>
            <w:color w:val="0000FF"/>
            <w:sz w:val="20"/>
            <w:szCs w:val="20"/>
            <w:u w:val="single"/>
            <w:vertAlign w:val="superscript"/>
            <w:lang w:eastAsia="es-EC"/>
          </w:rPr>
          <w:t>COMMENTS (1961)</w:t>
        </w:r>
      </w:hyperlink>
      <w:r w:rsidRPr="000B76A6">
        <w:rPr>
          <w:rFonts w:ascii="Verdana" w:eastAsia="Times New Roman" w:hAnsi="Verdana" w:cs="Times New Roman"/>
          <w:color w:val="000000"/>
          <w:sz w:val="20"/>
          <w:szCs w:val="20"/>
          <w:lang w:eastAsia="es-EC"/>
        </w:rPr>
        <w:t>, p. 534.</w:t>
      </w:r>
    </w:p>
    <w:p w14:paraId="09D52A2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89" w:name="fn28"/>
      <w:bookmarkEnd w:id="89"/>
      <w:r w:rsidRPr="000B76A6">
        <w:rPr>
          <w:rFonts w:ascii="Verdana" w:eastAsia="Times New Roman" w:hAnsi="Verdana" w:cs="Times New Roman"/>
          <w:color w:val="000000"/>
          <w:sz w:val="20"/>
          <w:szCs w:val="20"/>
          <w:vertAlign w:val="superscript"/>
          <w:lang w:eastAsia="es-EC"/>
        </w:rPr>
        <w:t>28</w:t>
      </w:r>
      <w:r w:rsidRPr="000B76A6">
        <w:rPr>
          <w:rFonts w:ascii="Verdana" w:eastAsia="Times New Roman" w:hAnsi="Verdana" w:cs="Times New Roman"/>
          <w:color w:val="000000"/>
          <w:sz w:val="20"/>
          <w:szCs w:val="20"/>
          <w:lang w:eastAsia="es-EC"/>
        </w:rPr>
        <w:t> </w:t>
      </w:r>
      <w:hyperlink r:id="rId106" w:anchor="B16" w:history="1">
        <w:r w:rsidRPr="000B76A6">
          <w:rPr>
            <w:rFonts w:ascii="Verdana" w:eastAsia="Times New Roman" w:hAnsi="Verdana" w:cs="Times New Roman"/>
            <w:color w:val="0000FF"/>
            <w:sz w:val="20"/>
            <w:szCs w:val="20"/>
            <w:u w:val="single"/>
            <w:vertAlign w:val="superscript"/>
            <w:lang w:eastAsia="es-EC"/>
          </w:rPr>
          <w:t>MILLER (1983)</w:t>
        </w:r>
      </w:hyperlink>
      <w:r w:rsidRPr="000B76A6">
        <w:rPr>
          <w:rFonts w:ascii="Verdana" w:eastAsia="Times New Roman" w:hAnsi="Verdana" w:cs="Times New Roman"/>
          <w:color w:val="000000"/>
          <w:sz w:val="20"/>
          <w:szCs w:val="20"/>
          <w:lang w:eastAsia="es-EC"/>
        </w:rPr>
        <w:t>, p. 199.</w:t>
      </w:r>
    </w:p>
    <w:p w14:paraId="51BEFB93"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0" w:name="fn29"/>
      <w:bookmarkEnd w:id="90"/>
      <w:r w:rsidRPr="000B76A6">
        <w:rPr>
          <w:rFonts w:ascii="Verdana" w:eastAsia="Times New Roman" w:hAnsi="Verdana" w:cs="Times New Roman"/>
          <w:color w:val="000000"/>
          <w:sz w:val="20"/>
          <w:szCs w:val="20"/>
          <w:vertAlign w:val="superscript"/>
          <w:lang w:eastAsia="es-EC"/>
        </w:rPr>
        <w:t>29</w:t>
      </w:r>
      <w:r w:rsidRPr="000B76A6">
        <w:rPr>
          <w:rFonts w:ascii="Verdana" w:eastAsia="Times New Roman" w:hAnsi="Verdana" w:cs="Times New Roman"/>
          <w:color w:val="000000"/>
          <w:sz w:val="20"/>
          <w:szCs w:val="20"/>
          <w:lang w:eastAsia="es-EC"/>
        </w:rPr>
        <w:t>COMMENT (1961), pp. 540-541.</w:t>
      </w:r>
    </w:p>
    <w:p w14:paraId="26C6155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1" w:name="fn30"/>
      <w:bookmarkEnd w:id="91"/>
      <w:r w:rsidRPr="000B76A6">
        <w:rPr>
          <w:rFonts w:ascii="Verdana" w:eastAsia="Times New Roman" w:hAnsi="Verdana" w:cs="Times New Roman"/>
          <w:color w:val="000000"/>
          <w:sz w:val="20"/>
          <w:szCs w:val="20"/>
          <w:vertAlign w:val="superscript"/>
          <w:lang w:eastAsia="es-EC"/>
        </w:rPr>
        <w:t>30</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 p. 542.</w:t>
      </w:r>
    </w:p>
    <w:p w14:paraId="182D636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2" w:name="fn31"/>
      <w:bookmarkEnd w:id="92"/>
      <w:r w:rsidRPr="000B76A6">
        <w:rPr>
          <w:rFonts w:ascii="Verdana" w:eastAsia="Times New Roman" w:hAnsi="Verdana" w:cs="Times New Roman"/>
          <w:color w:val="000000"/>
          <w:sz w:val="20"/>
          <w:szCs w:val="20"/>
          <w:vertAlign w:val="superscript"/>
          <w:lang w:eastAsia="es-EC"/>
        </w:rPr>
        <w:t>31</w:t>
      </w:r>
      <w:r w:rsidRPr="000B76A6">
        <w:rPr>
          <w:rFonts w:ascii="Verdana" w:eastAsia="Times New Roman" w:hAnsi="Verdana" w:cs="Times New Roman"/>
          <w:color w:val="000000"/>
          <w:sz w:val="20"/>
          <w:szCs w:val="20"/>
          <w:lang w:eastAsia="es-EC"/>
        </w:rPr>
        <w:t> </w:t>
      </w:r>
      <w:hyperlink r:id="rId107" w:anchor="B14" w:history="1">
        <w:r w:rsidRPr="000B76A6">
          <w:rPr>
            <w:rFonts w:ascii="Verdana" w:eastAsia="Times New Roman" w:hAnsi="Verdana" w:cs="Times New Roman"/>
            <w:color w:val="0000FF"/>
            <w:sz w:val="20"/>
            <w:szCs w:val="20"/>
            <w:u w:val="single"/>
            <w:vertAlign w:val="superscript"/>
            <w:lang w:eastAsia="es-EC"/>
          </w:rPr>
          <w:t>LAUTT (1991)</w:t>
        </w:r>
      </w:hyperlink>
      <w:r w:rsidRPr="000B76A6">
        <w:rPr>
          <w:rFonts w:ascii="Verdana" w:eastAsia="Times New Roman" w:hAnsi="Verdana" w:cs="Times New Roman"/>
          <w:color w:val="000000"/>
          <w:sz w:val="20"/>
          <w:szCs w:val="20"/>
          <w:lang w:eastAsia="es-EC"/>
        </w:rPr>
        <w:t>, p. 1047.</w:t>
      </w:r>
    </w:p>
    <w:p w14:paraId="204B341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3" w:name="fn32"/>
      <w:bookmarkEnd w:id="93"/>
      <w:r w:rsidRPr="000B76A6">
        <w:rPr>
          <w:rFonts w:ascii="Verdana" w:eastAsia="Times New Roman" w:hAnsi="Verdana" w:cs="Times New Roman"/>
          <w:color w:val="000000"/>
          <w:sz w:val="20"/>
          <w:szCs w:val="20"/>
          <w:vertAlign w:val="superscript"/>
          <w:lang w:eastAsia="es-EC"/>
        </w:rPr>
        <w:t>32</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 p. 1054.</w:t>
      </w:r>
    </w:p>
    <w:p w14:paraId="001B4A9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4" w:name="fn33"/>
      <w:bookmarkEnd w:id="94"/>
      <w:r w:rsidRPr="000B76A6">
        <w:rPr>
          <w:rFonts w:ascii="Verdana" w:eastAsia="Times New Roman" w:hAnsi="Verdana" w:cs="Times New Roman"/>
          <w:color w:val="000000"/>
          <w:sz w:val="20"/>
          <w:szCs w:val="20"/>
          <w:vertAlign w:val="superscript"/>
          <w:lang w:eastAsia="es-EC"/>
        </w:rPr>
        <w:t>33</w:t>
      </w:r>
      <w:r w:rsidRPr="000B76A6">
        <w:rPr>
          <w:rFonts w:ascii="Verdana" w:eastAsia="Times New Roman" w:hAnsi="Verdana" w:cs="Times New Roman"/>
          <w:i/>
          <w:iCs/>
          <w:color w:val="000000"/>
          <w:sz w:val="20"/>
          <w:szCs w:val="20"/>
          <w:lang w:eastAsia="es-EC"/>
        </w:rPr>
        <w:t>Ibid.</w:t>
      </w:r>
    </w:p>
    <w:p w14:paraId="3209B86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5" w:name="fn34"/>
      <w:bookmarkEnd w:id="95"/>
      <w:r w:rsidRPr="000B76A6">
        <w:rPr>
          <w:rFonts w:ascii="Verdana" w:eastAsia="Times New Roman" w:hAnsi="Verdana" w:cs="Times New Roman"/>
          <w:color w:val="000000"/>
          <w:sz w:val="20"/>
          <w:szCs w:val="20"/>
          <w:vertAlign w:val="superscript"/>
          <w:lang w:eastAsia="es-EC"/>
        </w:rPr>
        <w:t>34</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 p. 1067.</w:t>
      </w:r>
    </w:p>
    <w:p w14:paraId="39F44C0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6" w:name="fn35"/>
      <w:bookmarkEnd w:id="96"/>
      <w:r w:rsidRPr="000B76A6">
        <w:rPr>
          <w:rFonts w:ascii="Verdana" w:eastAsia="Times New Roman" w:hAnsi="Verdana" w:cs="Times New Roman"/>
          <w:color w:val="000000"/>
          <w:sz w:val="20"/>
          <w:szCs w:val="20"/>
          <w:vertAlign w:val="superscript"/>
          <w:lang w:eastAsia="es-EC"/>
        </w:rPr>
        <w:t>35</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 pp. 1070-1072.</w:t>
      </w:r>
    </w:p>
    <w:p w14:paraId="6C16173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7" w:name="fn36"/>
      <w:bookmarkEnd w:id="97"/>
      <w:r w:rsidRPr="000B76A6">
        <w:rPr>
          <w:rFonts w:ascii="Verdana" w:eastAsia="Times New Roman" w:hAnsi="Verdana" w:cs="Times New Roman"/>
          <w:color w:val="000000"/>
          <w:sz w:val="20"/>
          <w:szCs w:val="20"/>
          <w:vertAlign w:val="superscript"/>
          <w:lang w:eastAsia="es-EC"/>
        </w:rPr>
        <w:t>36</w:t>
      </w:r>
      <w:r w:rsidRPr="000B76A6">
        <w:rPr>
          <w:rFonts w:ascii="Verdana" w:eastAsia="Times New Roman" w:hAnsi="Verdana" w:cs="Times New Roman"/>
          <w:color w:val="000000"/>
          <w:sz w:val="20"/>
          <w:szCs w:val="20"/>
          <w:lang w:eastAsia="es-EC"/>
        </w:rPr>
        <w:t>COMMENT (1961), p. 536.</w:t>
      </w:r>
    </w:p>
    <w:p w14:paraId="26847A6F"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8" w:name="fn37"/>
      <w:bookmarkEnd w:id="98"/>
      <w:r w:rsidRPr="000B76A6">
        <w:rPr>
          <w:rFonts w:ascii="Verdana" w:eastAsia="Times New Roman" w:hAnsi="Verdana" w:cs="Times New Roman"/>
          <w:color w:val="000000"/>
          <w:sz w:val="20"/>
          <w:szCs w:val="20"/>
          <w:vertAlign w:val="superscript"/>
          <w:lang w:eastAsia="es-EC"/>
        </w:rPr>
        <w:t>37</w:t>
      </w:r>
      <w:r w:rsidRPr="000B76A6">
        <w:rPr>
          <w:rFonts w:ascii="Verdana" w:eastAsia="Times New Roman" w:hAnsi="Verdana" w:cs="Times New Roman"/>
          <w:color w:val="000000"/>
          <w:sz w:val="20"/>
          <w:szCs w:val="20"/>
          <w:lang w:eastAsia="es-EC"/>
        </w:rPr>
        <w:t> </w:t>
      </w:r>
      <w:hyperlink r:id="rId108" w:anchor="B20" w:history="1">
        <w:r w:rsidRPr="000B76A6">
          <w:rPr>
            <w:rFonts w:ascii="Verdana" w:eastAsia="Times New Roman" w:hAnsi="Verdana" w:cs="Times New Roman"/>
            <w:color w:val="0000FF"/>
            <w:sz w:val="20"/>
            <w:szCs w:val="20"/>
            <w:u w:val="single"/>
            <w:vertAlign w:val="superscript"/>
            <w:lang w:eastAsia="es-EC"/>
          </w:rPr>
          <w:t>WIGMORE (1923)</w:t>
        </w:r>
      </w:hyperlink>
      <w:r w:rsidRPr="000B76A6">
        <w:rPr>
          <w:rFonts w:ascii="Verdana" w:eastAsia="Times New Roman" w:hAnsi="Verdana" w:cs="Times New Roman"/>
          <w:color w:val="000000"/>
          <w:sz w:val="20"/>
          <w:szCs w:val="20"/>
          <w:lang w:eastAsia="es-EC"/>
        </w:rPr>
        <w:t>, section §2313, pp. 59-60.</w:t>
      </w:r>
    </w:p>
    <w:p w14:paraId="4359C0A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99" w:name="fn38"/>
      <w:bookmarkEnd w:id="99"/>
      <w:r w:rsidRPr="000B76A6">
        <w:rPr>
          <w:rFonts w:ascii="Verdana" w:eastAsia="Times New Roman" w:hAnsi="Verdana" w:cs="Times New Roman"/>
          <w:color w:val="000000"/>
          <w:sz w:val="20"/>
          <w:szCs w:val="20"/>
          <w:vertAlign w:val="superscript"/>
          <w:lang w:eastAsia="es-EC"/>
        </w:rPr>
        <w:t>38</w:t>
      </w:r>
      <w:r w:rsidRPr="000B76A6">
        <w:rPr>
          <w:rFonts w:ascii="Verdana" w:eastAsia="Times New Roman" w:hAnsi="Verdana" w:cs="Times New Roman"/>
          <w:color w:val="000000"/>
          <w:sz w:val="20"/>
          <w:szCs w:val="20"/>
          <w:lang w:eastAsia="es-EC"/>
        </w:rPr>
        <w:t>COMMENT (1961), pp. 536-537.</w:t>
      </w:r>
    </w:p>
    <w:p w14:paraId="65418A3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0" w:name="fn39"/>
      <w:bookmarkEnd w:id="100"/>
      <w:r w:rsidRPr="000B76A6">
        <w:rPr>
          <w:rFonts w:ascii="Verdana" w:eastAsia="Times New Roman" w:hAnsi="Verdana" w:cs="Times New Roman"/>
          <w:color w:val="000000"/>
          <w:sz w:val="20"/>
          <w:szCs w:val="20"/>
          <w:vertAlign w:val="superscript"/>
          <w:lang w:eastAsia="es-EC"/>
        </w:rPr>
        <w:t>39</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 p. 539.</w:t>
      </w:r>
    </w:p>
    <w:p w14:paraId="1E5FF98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1" w:name="fn40"/>
      <w:bookmarkEnd w:id="101"/>
      <w:r w:rsidRPr="000B76A6">
        <w:rPr>
          <w:rFonts w:ascii="Verdana" w:eastAsia="Times New Roman" w:hAnsi="Verdana" w:cs="Times New Roman"/>
          <w:color w:val="000000"/>
          <w:sz w:val="20"/>
          <w:szCs w:val="20"/>
          <w:vertAlign w:val="superscript"/>
          <w:lang w:eastAsia="es-EC"/>
        </w:rPr>
        <w:t>40</w:t>
      </w:r>
      <w:r w:rsidRPr="000B76A6">
        <w:rPr>
          <w:rFonts w:ascii="Verdana" w:eastAsia="Times New Roman" w:hAnsi="Verdana" w:cs="Times New Roman"/>
          <w:color w:val="000000"/>
          <w:sz w:val="20"/>
          <w:szCs w:val="20"/>
          <w:lang w:eastAsia="es-EC"/>
        </w:rPr>
        <w:t> </w:t>
      </w:r>
      <w:hyperlink r:id="rId109" w:anchor="B25" w:history="1">
        <w:r w:rsidRPr="000B76A6">
          <w:rPr>
            <w:rFonts w:ascii="Verdana" w:eastAsia="Times New Roman" w:hAnsi="Verdana" w:cs="Times New Roman"/>
            <w:color w:val="0000FF"/>
            <w:sz w:val="20"/>
            <w:szCs w:val="20"/>
            <w:u w:val="single"/>
            <w:vertAlign w:val="superscript"/>
            <w:lang w:eastAsia="es-EC"/>
          </w:rPr>
          <w:t>COMMITTEE ON PROFESSIONAL ETHICS (2016)</w:t>
        </w:r>
      </w:hyperlink>
      <w:r w:rsidRPr="000B76A6">
        <w:rPr>
          <w:rFonts w:ascii="Verdana" w:eastAsia="Times New Roman" w:hAnsi="Verdana" w:cs="Times New Roman"/>
          <w:color w:val="000000"/>
          <w:sz w:val="20"/>
          <w:szCs w:val="20"/>
          <w:lang w:eastAsia="es-EC"/>
        </w:rPr>
        <w:t>, considerando 5.</w:t>
      </w:r>
    </w:p>
    <w:p w14:paraId="62F4ADE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2" w:name="fn41"/>
      <w:bookmarkEnd w:id="102"/>
      <w:r w:rsidRPr="000B76A6">
        <w:rPr>
          <w:rFonts w:ascii="Verdana" w:eastAsia="Times New Roman" w:hAnsi="Verdana" w:cs="Times New Roman"/>
          <w:color w:val="000000"/>
          <w:sz w:val="20"/>
          <w:szCs w:val="20"/>
          <w:vertAlign w:val="superscript"/>
          <w:lang w:eastAsia="es-EC"/>
        </w:rPr>
        <w:t>41</w:t>
      </w:r>
      <w:r w:rsidRPr="000B76A6">
        <w:rPr>
          <w:rFonts w:ascii="Verdana" w:eastAsia="Times New Roman" w:hAnsi="Verdana" w:cs="Times New Roman"/>
          <w:color w:val="000000"/>
          <w:sz w:val="20"/>
          <w:szCs w:val="20"/>
          <w:lang w:eastAsia="es-EC"/>
        </w:rPr>
        <w:t> </w:t>
      </w:r>
      <w:hyperlink r:id="rId110" w:anchor="B24" w:history="1">
        <w:r w:rsidRPr="000B76A6">
          <w:rPr>
            <w:rFonts w:ascii="Verdana" w:eastAsia="Times New Roman" w:hAnsi="Verdana" w:cs="Times New Roman"/>
            <w:color w:val="0000FF"/>
            <w:sz w:val="20"/>
            <w:szCs w:val="20"/>
            <w:u w:val="single"/>
            <w:vertAlign w:val="superscript"/>
            <w:lang w:eastAsia="es-EC"/>
          </w:rPr>
          <w:t>COMMITTEE ON PROFESSIONAL ETHICS (2012)</w:t>
        </w:r>
      </w:hyperlink>
      <w:r w:rsidRPr="000B76A6">
        <w:rPr>
          <w:rFonts w:ascii="Verdana" w:eastAsia="Times New Roman" w:hAnsi="Verdana" w:cs="Times New Roman"/>
          <w:color w:val="000000"/>
          <w:sz w:val="20"/>
          <w:szCs w:val="20"/>
          <w:lang w:eastAsia="es-EC"/>
        </w:rPr>
        <w:t>.</w:t>
      </w:r>
    </w:p>
    <w:p w14:paraId="5FC1169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3" w:name="fn42"/>
      <w:bookmarkEnd w:id="103"/>
      <w:r w:rsidRPr="000B76A6">
        <w:rPr>
          <w:rFonts w:ascii="Verdana" w:eastAsia="Times New Roman" w:hAnsi="Verdana" w:cs="Times New Roman"/>
          <w:color w:val="000000"/>
          <w:sz w:val="20"/>
          <w:szCs w:val="20"/>
          <w:vertAlign w:val="superscript"/>
          <w:lang w:eastAsia="es-EC"/>
        </w:rPr>
        <w:t>42</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 considerando 4, citando la </w:t>
      </w:r>
      <w:r w:rsidRPr="000B76A6">
        <w:rPr>
          <w:rFonts w:ascii="Verdana" w:eastAsia="Times New Roman" w:hAnsi="Verdana" w:cs="Times New Roman"/>
          <w:i/>
          <w:iCs/>
          <w:color w:val="000000"/>
          <w:sz w:val="20"/>
          <w:szCs w:val="20"/>
          <w:lang w:eastAsia="es-EC"/>
        </w:rPr>
        <w:t>Rule</w:t>
      </w:r>
      <w:r w:rsidRPr="000B76A6">
        <w:rPr>
          <w:rFonts w:ascii="Verdana" w:eastAsia="Times New Roman" w:hAnsi="Verdana" w:cs="Times New Roman"/>
          <w:color w:val="000000"/>
          <w:sz w:val="20"/>
          <w:szCs w:val="20"/>
          <w:lang w:eastAsia="es-EC"/>
        </w:rPr>
        <w:t> 1.6 sobre confidencialidad.</w:t>
      </w:r>
    </w:p>
    <w:p w14:paraId="0D8B9EB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4" w:name="fn43"/>
      <w:bookmarkEnd w:id="104"/>
      <w:r w:rsidRPr="000B76A6">
        <w:rPr>
          <w:rFonts w:ascii="Verdana" w:eastAsia="Times New Roman" w:hAnsi="Verdana" w:cs="Times New Roman"/>
          <w:color w:val="000000"/>
          <w:sz w:val="20"/>
          <w:szCs w:val="20"/>
          <w:vertAlign w:val="superscript"/>
          <w:lang w:eastAsia="es-EC"/>
        </w:rPr>
        <w:t>43</w:t>
      </w:r>
      <w:r w:rsidRPr="000B76A6">
        <w:rPr>
          <w:rFonts w:ascii="Verdana" w:eastAsia="Times New Roman" w:hAnsi="Verdana" w:cs="Times New Roman"/>
          <w:color w:val="000000"/>
          <w:sz w:val="20"/>
          <w:szCs w:val="20"/>
          <w:lang w:eastAsia="es-EC"/>
        </w:rPr>
        <w:t> </w:t>
      </w:r>
      <w:hyperlink r:id="rId111" w:anchor="B24" w:history="1">
        <w:r w:rsidRPr="000B76A6">
          <w:rPr>
            <w:rFonts w:ascii="Verdana" w:eastAsia="Times New Roman" w:hAnsi="Verdana" w:cs="Times New Roman"/>
            <w:color w:val="0000FF"/>
            <w:sz w:val="20"/>
            <w:szCs w:val="20"/>
            <w:u w:val="single"/>
            <w:vertAlign w:val="superscript"/>
            <w:lang w:eastAsia="es-EC"/>
          </w:rPr>
          <w:t>COMMITTEE ON PROFESSIONAL ETHICS (2012)</w:t>
        </w:r>
      </w:hyperlink>
      <w:r w:rsidRPr="000B76A6">
        <w:rPr>
          <w:rFonts w:ascii="Verdana" w:eastAsia="Times New Roman" w:hAnsi="Verdana" w:cs="Times New Roman"/>
          <w:color w:val="000000"/>
          <w:sz w:val="20"/>
          <w:szCs w:val="20"/>
          <w:lang w:eastAsia="es-EC"/>
        </w:rPr>
        <w:t>, considerando 6.</w:t>
      </w:r>
    </w:p>
    <w:p w14:paraId="40552E8C"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5" w:name="fn44"/>
      <w:bookmarkEnd w:id="105"/>
      <w:r w:rsidRPr="000B76A6">
        <w:rPr>
          <w:rFonts w:ascii="Verdana" w:eastAsia="Times New Roman" w:hAnsi="Verdana" w:cs="Times New Roman"/>
          <w:color w:val="000000"/>
          <w:sz w:val="20"/>
          <w:szCs w:val="20"/>
          <w:vertAlign w:val="superscript"/>
          <w:lang w:eastAsia="es-EC"/>
        </w:rPr>
        <w:t>44</w:t>
      </w:r>
      <w:r w:rsidRPr="000B76A6">
        <w:rPr>
          <w:rFonts w:ascii="Verdana" w:eastAsia="Times New Roman" w:hAnsi="Verdana" w:cs="Times New Roman"/>
          <w:i/>
          <w:iCs/>
          <w:color w:val="000000"/>
          <w:sz w:val="20"/>
          <w:szCs w:val="20"/>
          <w:lang w:eastAsia="es-EC"/>
        </w:rPr>
        <w:t>Ibid.</w:t>
      </w:r>
    </w:p>
    <w:p w14:paraId="1EE776B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6" w:name="fn45"/>
      <w:bookmarkEnd w:id="106"/>
      <w:r w:rsidRPr="000B76A6">
        <w:rPr>
          <w:rFonts w:ascii="Verdana" w:eastAsia="Times New Roman" w:hAnsi="Verdana" w:cs="Times New Roman"/>
          <w:color w:val="000000"/>
          <w:sz w:val="20"/>
          <w:szCs w:val="20"/>
          <w:vertAlign w:val="superscript"/>
          <w:lang w:eastAsia="es-EC"/>
        </w:rPr>
        <w:t>45</w:t>
      </w:r>
      <w:r w:rsidRPr="000B76A6">
        <w:rPr>
          <w:rFonts w:ascii="Verdana" w:eastAsia="Times New Roman" w:hAnsi="Verdana" w:cs="Times New Roman"/>
          <w:color w:val="000000"/>
          <w:sz w:val="20"/>
          <w:szCs w:val="20"/>
          <w:lang w:eastAsia="es-EC"/>
        </w:rPr>
        <w:t>Este artículo tuvo como antecedente una indicación del diputado Osvaldo Andrade: “ ‘d) Principio de buena fe. Las partes, sus apoderados y todos quienes intervengan en el proceso conforme al sistema informático de tramitación, deberán actuar de buena fe. El juez, de oficio o a petición de parte, deberá prevenir, corregir y sancionar, según corresponda, toda acción u omisión que importe un fraude o abuso procesal, contravención de actos propios o cualquiera otra conducta ilícita, dilatoria o de cualquier otro modo contraria a la buena fe.’. El diputado Monckeberg, don Cristián, consultó qué significaba ‘colusión procesal’ para estos efectos, lo que figuraba en el texto original de la indicación. El diputado señor Squella consultó qué pasaba con este nuevo principio en caso de incluirse, cuál era su impacto en lo práctico. El Presidente de la Corte Suprema, Ministro Sergio Muñoz, señaló que el juez tiene la obligación de valorar la conducta de las partes en la ponderación de la prueba sólo en los procedimientos de mínima cuantía, pero fruto de la jurisprudencia y la doctrina se ha creado un principio general en la materia. [...] expresó que fraude es para toda conducta reñida con el buen hacer, juego limpio, mirarse a la cara y no ocultar nada, no tener doble estándar. Lo contrario es el fraude y abuso. Colusión no era un concepto frecuente, pero habría que entenderlo como una de esas conductas. Asimismo, que la contravención de los actos propios es muy relevante, no contradecir una conducta propia. El aspecto del acto propio es un concepto muy fuerte, nadie puede guardar una incoherencia con su actuar anterior. El diputado señor Trisotti consultó sobre cuál sería el aspecto sancionatorio. El Presidente de la Corte Suprema, Ministro Sergio Muñoz, señaló que sería la que corresponda. Así, en la primera parte del mensaje del Código se plantea que serían ciertas conductas de mala fe la interposición de muchos incidentes, en esos casos se actuaría de mala fe y por ello se obliga a consignar a modo de caución, y eso no es nulidad. Hay muchas otras sanciones, que van de la mano de no ser simplemente la nulidad. El diputado señor Squella consultó si existía un mecanismo de fraude por el sólo hecho que el mecanismo sea informático. Sólo esa posibilidad ameritaría una nueva regla. El Presidente de la Corte Suprema, Ministro Sergio Muñoz, explicó que las Cortes sancionan decididamente la presentación de demanda de diversa manera, con diversos nombres, para lograr que se asigne una causa en un tribunal preferido. Eso se sanciona ejemplarmente, pues es fraude informático que es buscar tribunal, por medio de presentación de demandas sucesivas. Sometido a votación el artículo, conjuntamente con la indicación, se aprobó por la unanimidad de los diputados presentes”. Segundo tramite constitucional. Informe Comisión de Constitución Cámara de Diputados, 26 noviembre 2015, en </w:t>
      </w:r>
      <w:hyperlink r:id="rId112" w:anchor="B5" w:history="1">
        <w:r w:rsidRPr="000B76A6">
          <w:rPr>
            <w:rFonts w:ascii="Verdana" w:eastAsia="Times New Roman" w:hAnsi="Verdana" w:cs="Times New Roman"/>
            <w:color w:val="0000FF"/>
            <w:sz w:val="20"/>
            <w:szCs w:val="20"/>
            <w:u w:val="single"/>
            <w:vertAlign w:val="superscript"/>
            <w:lang w:eastAsia="es-EC"/>
          </w:rPr>
          <w:t>BIBLIOTECA DEL CONGRESO NACIONAL (2018)</w:t>
        </w:r>
      </w:hyperlink>
      <w:r w:rsidRPr="000B76A6">
        <w:rPr>
          <w:rFonts w:ascii="Verdana" w:eastAsia="Times New Roman" w:hAnsi="Verdana" w:cs="Times New Roman"/>
          <w:color w:val="000000"/>
          <w:sz w:val="20"/>
          <w:szCs w:val="20"/>
          <w:lang w:eastAsia="es-EC"/>
        </w:rPr>
        <w:t>, p. 198.</w:t>
      </w:r>
    </w:p>
    <w:p w14:paraId="30C1493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7" w:name="fn46"/>
      <w:bookmarkEnd w:id="107"/>
      <w:r w:rsidRPr="000B76A6">
        <w:rPr>
          <w:rFonts w:ascii="Verdana" w:eastAsia="Times New Roman" w:hAnsi="Verdana" w:cs="Times New Roman"/>
          <w:color w:val="000000"/>
          <w:sz w:val="20"/>
          <w:szCs w:val="20"/>
          <w:vertAlign w:val="superscript"/>
          <w:lang w:eastAsia="es-EC"/>
        </w:rPr>
        <w:t>46</w:t>
      </w:r>
      <w:r w:rsidRPr="000B76A6">
        <w:rPr>
          <w:rFonts w:ascii="Verdana" w:eastAsia="Times New Roman" w:hAnsi="Verdana" w:cs="Times New Roman"/>
          <w:color w:val="000000"/>
          <w:sz w:val="20"/>
          <w:szCs w:val="20"/>
          <w:lang w:eastAsia="es-EC"/>
        </w:rPr>
        <w:t>COMISIÓN DE ÉTICA Y CÓDIGOS DE BUENAS PRÁCTICAS (2010), p. 6.</w:t>
      </w:r>
    </w:p>
    <w:p w14:paraId="0223299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08" w:name="fn47"/>
      <w:bookmarkEnd w:id="108"/>
      <w:r w:rsidRPr="000B76A6">
        <w:rPr>
          <w:rFonts w:ascii="Verdana" w:eastAsia="Times New Roman" w:hAnsi="Verdana" w:cs="Times New Roman"/>
          <w:color w:val="000000"/>
          <w:sz w:val="20"/>
          <w:szCs w:val="20"/>
          <w:vertAlign w:val="superscript"/>
          <w:lang w:eastAsia="es-EC"/>
        </w:rPr>
        <w:t>47</w:t>
      </w:r>
      <w:r w:rsidRPr="000B76A6">
        <w:rPr>
          <w:rFonts w:ascii="Verdana" w:eastAsia="Times New Roman" w:hAnsi="Verdana" w:cs="Times New Roman"/>
          <w:i/>
          <w:iCs/>
          <w:color w:val="000000"/>
          <w:sz w:val="20"/>
          <w:szCs w:val="20"/>
          <w:lang w:eastAsia="es-EC"/>
        </w:rPr>
        <w:t>Op. cit.</w:t>
      </w:r>
      <w:r w:rsidRPr="000B76A6">
        <w:rPr>
          <w:rFonts w:ascii="Verdana" w:eastAsia="Times New Roman" w:hAnsi="Verdana" w:cs="Times New Roman"/>
          <w:color w:val="000000"/>
          <w:sz w:val="20"/>
          <w:szCs w:val="20"/>
          <w:lang w:eastAsia="es-EC"/>
        </w:rPr>
        <w:t> (2008), p. 12.</w:t>
      </w:r>
    </w:p>
    <w:p w14:paraId="1A0022F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C"/>
        </w:rPr>
      </w:pPr>
      <w:bookmarkStart w:id="109" w:name="fn49"/>
      <w:r w:rsidRPr="000B76A6">
        <w:rPr>
          <w:rFonts w:ascii="Verdana" w:eastAsia="Times New Roman" w:hAnsi="Verdana" w:cs="Times New Roman"/>
          <w:b/>
          <w:bCs/>
          <w:color w:val="000000"/>
          <w:sz w:val="20"/>
          <w:szCs w:val="20"/>
          <w:lang w:eastAsia="es-EC"/>
        </w:rPr>
        <w:t>SIGLAS Y ABREVIATURAS</w:t>
      </w:r>
    </w:p>
    <w:bookmarkEnd w:id="109"/>
    <w:p w14:paraId="1249F05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A.G. Asociación gremial</w:t>
      </w:r>
    </w:p>
    <w:p w14:paraId="39951FB4"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al. alii</w:t>
      </w:r>
    </w:p>
    <w:p w14:paraId="28EE12C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 artículo</w:t>
      </w:r>
    </w:p>
    <w:p w14:paraId="50536D0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arts. artículos</w:t>
      </w:r>
    </w:p>
    <w:p w14:paraId="2B8B893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CEP Códigos de Ética Profesional</w:t>
      </w:r>
    </w:p>
    <w:p w14:paraId="231C596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Cir. Circuit</w:t>
      </w:r>
    </w:p>
    <w:p w14:paraId="119F7EE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COT Código Orgánico de Tribunales</w:t>
      </w:r>
    </w:p>
    <w:p w14:paraId="2ED3D7EE"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CPC Código de Procedimiento Civil</w:t>
      </w:r>
    </w:p>
    <w:p w14:paraId="100F9CE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DL decreto ley</w:t>
      </w:r>
    </w:p>
    <w:p w14:paraId="420322C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ed. editor</w:t>
      </w:r>
    </w:p>
    <w:p w14:paraId="0D5A3CD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E.G.A. Estatuto General de la Abogacía</w:t>
      </w:r>
    </w:p>
    <w:p w14:paraId="59DC799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F.2d Federal Reporter, 2 Series</w:t>
      </w:r>
    </w:p>
    <w:p w14:paraId="7A326BC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https Hyper Text Transfer Protocol Secure</w:t>
      </w:r>
    </w:p>
    <w:p w14:paraId="7B5C9E48"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Ibid. Ibidem</w:t>
      </w:r>
      <w:r w:rsidRPr="000B76A6">
        <w:rPr>
          <w:rFonts w:ascii="Verdana" w:eastAsia="Times New Roman" w:hAnsi="Verdana" w:cs="Times New Roman"/>
          <w:color w:val="000000"/>
          <w:sz w:val="20"/>
          <w:szCs w:val="20"/>
          <w:lang w:eastAsia="es-EC"/>
        </w:rPr>
        <w:t> (allí en ese mismo lugar)</w:t>
      </w:r>
    </w:p>
    <w:p w14:paraId="2B3121F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LL.M. Master of Laws</w:t>
      </w:r>
    </w:p>
    <w:p w14:paraId="16F12401"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MSc Magister Scientiae</w:t>
      </w:r>
    </w:p>
    <w:p w14:paraId="3BFEE5F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n.º </w:t>
      </w:r>
      <w:r w:rsidRPr="000B76A6">
        <w:rPr>
          <w:rFonts w:ascii="Verdana" w:eastAsia="Times New Roman" w:hAnsi="Verdana" w:cs="Times New Roman"/>
          <w:i/>
          <w:iCs/>
          <w:color w:val="000000"/>
          <w:sz w:val="20"/>
          <w:szCs w:val="20"/>
          <w:lang w:eastAsia="es-EC"/>
        </w:rPr>
        <w:t>a veces</w:t>
      </w:r>
      <w:r w:rsidRPr="000B76A6">
        <w:rPr>
          <w:rFonts w:ascii="Verdana" w:eastAsia="Times New Roman" w:hAnsi="Verdana" w:cs="Times New Roman"/>
          <w:color w:val="000000"/>
          <w:sz w:val="20"/>
          <w:szCs w:val="20"/>
          <w:lang w:eastAsia="es-EC"/>
        </w:rPr>
        <w:t> No., Nº número</w:t>
      </w:r>
    </w:p>
    <w:p w14:paraId="3CC9505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NPR Nuevo Procedimiento de Reclamos</w:t>
      </w:r>
    </w:p>
    <w:p w14:paraId="121C972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N.E.2d North Eastern Reporter, 2 Series</w:t>
      </w:r>
    </w:p>
    <w:p w14:paraId="6DDFF382"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N.Y. New York</w:t>
      </w:r>
    </w:p>
    <w:p w14:paraId="438DA67B"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N.Y.S. New York State</w:t>
      </w:r>
    </w:p>
    <w:p w14:paraId="2C389806"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op. cit. opus citatum</w:t>
      </w:r>
    </w:p>
    <w:p w14:paraId="122CE1C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 página</w:t>
      </w:r>
    </w:p>
    <w:p w14:paraId="5EDDEFE5"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Ph.D. Philosophiae Doctor</w:t>
      </w:r>
    </w:p>
    <w:p w14:paraId="0349204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pp. páginas</w:t>
      </w:r>
    </w:p>
    <w:p w14:paraId="2767EF7A"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PUCP Pontificia Universidad Católica del Perú</w:t>
      </w:r>
    </w:p>
    <w:p w14:paraId="595AF130"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v. versus</w:t>
      </w:r>
    </w:p>
    <w:p w14:paraId="10E3B56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i/>
          <w:iCs/>
          <w:color w:val="000000"/>
          <w:sz w:val="20"/>
          <w:szCs w:val="20"/>
          <w:lang w:eastAsia="es-EC"/>
        </w:rPr>
        <w:t>v.gr. verbi gratia</w:t>
      </w:r>
    </w:p>
    <w:p w14:paraId="0AB3DB29"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vol. volumen</w:t>
      </w:r>
    </w:p>
    <w:p w14:paraId="30EB6F17"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0B76A6">
        <w:rPr>
          <w:rFonts w:ascii="Verdana" w:eastAsia="Times New Roman" w:hAnsi="Verdana" w:cs="Times New Roman"/>
          <w:color w:val="000000"/>
          <w:sz w:val="20"/>
          <w:szCs w:val="20"/>
          <w:lang w:eastAsia="es-EC"/>
        </w:rPr>
        <w:t>www World Wide Web</w:t>
      </w:r>
    </w:p>
    <w:p w14:paraId="53118BDD" w14:textId="77777777" w:rsidR="000B76A6" w:rsidRPr="000B76A6" w:rsidRDefault="000B76A6" w:rsidP="000B76A6">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bookmarkStart w:id="110" w:name="c01"/>
      <w:bookmarkEnd w:id="110"/>
      <w:r w:rsidRPr="000B76A6">
        <w:rPr>
          <w:rFonts w:ascii="Verdana" w:eastAsia="Times New Roman" w:hAnsi="Verdana" w:cs="Times New Roman"/>
          <w:color w:val="000000"/>
          <w:sz w:val="20"/>
          <w:szCs w:val="20"/>
          <w:lang w:eastAsia="es-EC"/>
        </w:rPr>
        <w:t>Dirección postal: Pío Nono 1</w:t>
      </w:r>
    </w:p>
    <w:p w14:paraId="14EE86EF" w14:textId="77777777" w:rsidR="0079420F" w:rsidRDefault="0079420F"/>
    <w:sectPr w:rsidR="00794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A9D"/>
    <w:multiLevelType w:val="multilevel"/>
    <w:tmpl w:val="93C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31599"/>
    <w:multiLevelType w:val="multilevel"/>
    <w:tmpl w:val="714E3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27618D"/>
    <w:multiLevelType w:val="multilevel"/>
    <w:tmpl w:val="63785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43BF8"/>
    <w:multiLevelType w:val="multilevel"/>
    <w:tmpl w:val="A95E2F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71F3291"/>
    <w:multiLevelType w:val="multilevel"/>
    <w:tmpl w:val="4E5A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61E91"/>
    <w:multiLevelType w:val="multilevel"/>
    <w:tmpl w:val="CD943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A6"/>
    <w:rsid w:val="000B76A6"/>
    <w:rsid w:val="007942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9862"/>
  <w15:chartTrackingRefBased/>
  <w15:docId w15:val="{3C237F95-63A9-454F-A019-398E3E0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B76A6"/>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0B76A6"/>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link w:val="Ttulo4Car"/>
    <w:uiPriority w:val="9"/>
    <w:qFormat/>
    <w:rsid w:val="000B76A6"/>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76A6"/>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0B76A6"/>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0B76A6"/>
    <w:rPr>
      <w:rFonts w:ascii="Times New Roman" w:eastAsia="Times New Roman" w:hAnsi="Times New Roman" w:cs="Times New Roman"/>
      <w:b/>
      <w:bCs/>
      <w:sz w:val="24"/>
      <w:szCs w:val="24"/>
      <w:lang w:eastAsia="es-EC"/>
    </w:rPr>
  </w:style>
  <w:style w:type="paragraph" w:customStyle="1" w:styleId="msonormal0">
    <w:name w:val="msonormal"/>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0B76A6"/>
    <w:rPr>
      <w:color w:val="0000FF"/>
      <w:u w:val="single"/>
    </w:rPr>
  </w:style>
  <w:style w:type="character" w:styleId="Hipervnculovisitado">
    <w:name w:val="FollowedHyperlink"/>
    <w:basedOn w:val="Fuentedeprrafopredeter"/>
    <w:uiPriority w:val="99"/>
    <w:semiHidden/>
    <w:unhideWhenUsed/>
    <w:rsid w:val="000B76A6"/>
    <w:rPr>
      <w:color w:val="800080"/>
      <w:u w:val="single"/>
    </w:rPr>
  </w:style>
  <w:style w:type="character" w:styleId="nfasis">
    <w:name w:val="Emphasis"/>
    <w:basedOn w:val="Fuentedeprrafopredeter"/>
    <w:uiPriority w:val="20"/>
    <w:qFormat/>
    <w:rsid w:val="000B76A6"/>
    <w:rPr>
      <w:i/>
      <w:iCs/>
    </w:rPr>
  </w:style>
  <w:style w:type="paragraph" w:customStyle="1" w:styleId="categoria">
    <w:name w:val="categoria"/>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title">
    <w:name w:val="title"/>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trans-title">
    <w:name w:val="trans-title"/>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author">
    <w:name w:val="author"/>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uthor-name">
    <w:name w:val="author-name"/>
    <w:basedOn w:val="Fuentedeprrafopredeter"/>
    <w:rsid w:val="000B76A6"/>
  </w:style>
  <w:style w:type="paragraph" w:customStyle="1" w:styleId="aff">
    <w:name w:val="aff"/>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NormalWeb">
    <w:name w:val="Normal (Web)"/>
    <w:basedOn w:val="Normal"/>
    <w:uiPriority w:val="99"/>
    <w:semiHidden/>
    <w:unhideWhenUsed/>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sec">
    <w:name w:val="sec"/>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sub-subsec">
    <w:name w:val="sub-subsec"/>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ref">
    <w:name w:val="ref"/>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0B76A6"/>
    <w:rPr>
      <w:b/>
      <w:bCs/>
    </w:rPr>
  </w:style>
  <w:style w:type="paragraph" w:customStyle="1" w:styleId="corresp">
    <w:name w:val="corresp"/>
    <w:basedOn w:val="Normal"/>
    <w:rsid w:val="000B76A6"/>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60286">
      <w:bodyDiv w:val="1"/>
      <w:marLeft w:val="0"/>
      <w:marRight w:val="0"/>
      <w:marTop w:val="0"/>
      <w:marBottom w:val="0"/>
      <w:divBdr>
        <w:top w:val="none" w:sz="0" w:space="0" w:color="auto"/>
        <w:left w:val="none" w:sz="0" w:space="0" w:color="auto"/>
        <w:bottom w:val="none" w:sz="0" w:space="0" w:color="auto"/>
        <w:right w:val="none" w:sz="0" w:space="0" w:color="auto"/>
      </w:divBdr>
      <w:divsChild>
        <w:div w:id="1537041909">
          <w:marLeft w:val="0"/>
          <w:marRight w:val="0"/>
          <w:marTop w:val="0"/>
          <w:marBottom w:val="0"/>
          <w:divBdr>
            <w:top w:val="none" w:sz="0" w:space="0" w:color="auto"/>
            <w:left w:val="none" w:sz="0" w:space="0" w:color="auto"/>
            <w:bottom w:val="none" w:sz="0" w:space="0" w:color="auto"/>
            <w:right w:val="none" w:sz="0" w:space="0" w:color="auto"/>
          </w:divBdr>
          <w:divsChild>
            <w:div w:id="488448662">
              <w:marLeft w:val="0"/>
              <w:marRight w:val="0"/>
              <w:marTop w:val="0"/>
              <w:marBottom w:val="0"/>
              <w:divBdr>
                <w:top w:val="none" w:sz="0" w:space="0" w:color="auto"/>
                <w:left w:val="none" w:sz="0" w:space="0" w:color="auto"/>
                <w:bottom w:val="none" w:sz="0" w:space="0" w:color="auto"/>
                <w:right w:val="none" w:sz="0" w:space="0" w:color="auto"/>
              </w:divBdr>
              <w:divsChild>
                <w:div w:id="1884826048">
                  <w:marLeft w:val="0"/>
                  <w:marRight w:val="0"/>
                  <w:marTop w:val="0"/>
                  <w:marBottom w:val="0"/>
                  <w:divBdr>
                    <w:top w:val="none" w:sz="0" w:space="0" w:color="auto"/>
                    <w:left w:val="none" w:sz="0" w:space="0" w:color="auto"/>
                    <w:bottom w:val="none" w:sz="0" w:space="0" w:color="auto"/>
                    <w:right w:val="none" w:sz="0" w:space="0" w:color="auto"/>
                  </w:divBdr>
                </w:div>
                <w:div w:id="838690554">
                  <w:marLeft w:val="0"/>
                  <w:marRight w:val="0"/>
                  <w:marTop w:val="0"/>
                  <w:marBottom w:val="0"/>
                  <w:divBdr>
                    <w:top w:val="none" w:sz="0" w:space="0" w:color="auto"/>
                    <w:left w:val="none" w:sz="0" w:space="0" w:color="auto"/>
                    <w:bottom w:val="none" w:sz="0" w:space="0" w:color="auto"/>
                    <w:right w:val="none" w:sz="0" w:space="0" w:color="auto"/>
                  </w:divBdr>
                </w:div>
                <w:div w:id="480387632">
                  <w:marLeft w:val="0"/>
                  <w:marRight w:val="0"/>
                  <w:marTop w:val="0"/>
                  <w:marBottom w:val="375"/>
                  <w:divBdr>
                    <w:top w:val="none" w:sz="0" w:space="0" w:color="auto"/>
                    <w:left w:val="none" w:sz="0" w:space="0" w:color="auto"/>
                    <w:bottom w:val="none" w:sz="0" w:space="0" w:color="auto"/>
                    <w:right w:val="none" w:sz="0" w:space="0" w:color="auto"/>
                  </w:divBdr>
                </w:div>
                <w:div w:id="195503262">
                  <w:marLeft w:val="0"/>
                  <w:marRight w:val="0"/>
                  <w:marTop w:val="675"/>
                  <w:marBottom w:val="0"/>
                  <w:divBdr>
                    <w:top w:val="single" w:sz="6" w:space="0" w:color="auto"/>
                    <w:left w:val="none" w:sz="0" w:space="0" w:color="auto"/>
                    <w:bottom w:val="single" w:sz="6" w:space="0" w:color="auto"/>
                    <w:right w:val="none" w:sz="0" w:space="0" w:color="auto"/>
                  </w:divBdr>
                </w:div>
                <w:div w:id="1245530138">
                  <w:marLeft w:val="0"/>
                  <w:marRight w:val="0"/>
                  <w:marTop w:val="675"/>
                  <w:marBottom w:val="0"/>
                  <w:divBdr>
                    <w:top w:val="none" w:sz="0" w:space="0" w:color="auto"/>
                    <w:left w:val="none" w:sz="0" w:space="0" w:color="auto"/>
                    <w:bottom w:val="single" w:sz="6" w:space="0" w:color="auto"/>
                    <w:right w:val="none" w:sz="0" w:space="0" w:color="auto"/>
                  </w:divBdr>
                </w:div>
              </w:divsChild>
            </w:div>
            <w:div w:id="1283804886">
              <w:marLeft w:val="0"/>
              <w:marRight w:val="0"/>
              <w:marTop w:val="0"/>
              <w:marBottom w:val="0"/>
              <w:divBdr>
                <w:top w:val="none" w:sz="0" w:space="0" w:color="auto"/>
                <w:left w:val="none" w:sz="0" w:space="0" w:color="auto"/>
                <w:bottom w:val="none" w:sz="0" w:space="0" w:color="auto"/>
                <w:right w:val="none" w:sz="0" w:space="0" w:color="auto"/>
              </w:divBdr>
              <w:divsChild>
                <w:div w:id="289868158">
                  <w:marLeft w:val="0"/>
                  <w:marRight w:val="0"/>
                  <w:marTop w:val="0"/>
                  <w:marBottom w:val="0"/>
                  <w:divBdr>
                    <w:top w:val="none" w:sz="0" w:space="0" w:color="auto"/>
                    <w:left w:val="none" w:sz="0" w:space="0" w:color="auto"/>
                    <w:bottom w:val="none" w:sz="0" w:space="0" w:color="auto"/>
                    <w:right w:val="none" w:sz="0" w:space="0" w:color="auto"/>
                  </w:divBdr>
                  <w:divsChild>
                    <w:div w:id="599215834">
                      <w:marLeft w:val="0"/>
                      <w:marRight w:val="0"/>
                      <w:marTop w:val="0"/>
                      <w:marBottom w:val="0"/>
                      <w:divBdr>
                        <w:top w:val="none" w:sz="0" w:space="0" w:color="auto"/>
                        <w:left w:val="none" w:sz="0" w:space="0" w:color="auto"/>
                        <w:bottom w:val="none" w:sz="0" w:space="0" w:color="auto"/>
                        <w:right w:val="none" w:sz="0" w:space="0" w:color="auto"/>
                      </w:divBdr>
                    </w:div>
                  </w:divsChild>
                </w:div>
                <w:div w:id="1066609169">
                  <w:marLeft w:val="0"/>
                  <w:marRight w:val="0"/>
                  <w:marTop w:val="0"/>
                  <w:marBottom w:val="0"/>
                  <w:divBdr>
                    <w:top w:val="none" w:sz="0" w:space="0" w:color="auto"/>
                    <w:left w:val="none" w:sz="0" w:space="0" w:color="auto"/>
                    <w:bottom w:val="none" w:sz="0" w:space="0" w:color="auto"/>
                    <w:right w:val="none" w:sz="0" w:space="0" w:color="auto"/>
                  </w:divBdr>
                  <w:divsChild>
                    <w:div w:id="10230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4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24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4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8134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43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44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7954">
                  <w:marLeft w:val="0"/>
                  <w:marRight w:val="0"/>
                  <w:marTop w:val="0"/>
                  <w:marBottom w:val="0"/>
                  <w:divBdr>
                    <w:top w:val="none" w:sz="0" w:space="0" w:color="auto"/>
                    <w:left w:val="none" w:sz="0" w:space="0" w:color="auto"/>
                    <w:bottom w:val="none" w:sz="0" w:space="0" w:color="auto"/>
                    <w:right w:val="none" w:sz="0" w:space="0" w:color="auto"/>
                  </w:divBdr>
                  <w:divsChild>
                    <w:div w:id="168744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52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09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1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684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70823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29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819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6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69709">
                  <w:marLeft w:val="0"/>
                  <w:marRight w:val="0"/>
                  <w:marTop w:val="0"/>
                  <w:marBottom w:val="0"/>
                  <w:divBdr>
                    <w:top w:val="none" w:sz="0" w:space="0" w:color="auto"/>
                    <w:left w:val="none" w:sz="0" w:space="0" w:color="auto"/>
                    <w:bottom w:val="none" w:sz="0" w:space="0" w:color="auto"/>
                    <w:right w:val="none" w:sz="0" w:space="0" w:color="auto"/>
                  </w:divBdr>
                  <w:divsChild>
                    <w:div w:id="1015887994">
                      <w:marLeft w:val="0"/>
                      <w:marRight w:val="0"/>
                      <w:marTop w:val="0"/>
                      <w:marBottom w:val="0"/>
                      <w:divBdr>
                        <w:top w:val="none" w:sz="0" w:space="0" w:color="auto"/>
                        <w:left w:val="none" w:sz="0" w:space="0" w:color="auto"/>
                        <w:bottom w:val="none" w:sz="0" w:space="0" w:color="auto"/>
                        <w:right w:val="none" w:sz="0" w:space="0" w:color="auto"/>
                      </w:divBdr>
                    </w:div>
                    <w:div w:id="621962150">
                      <w:marLeft w:val="0"/>
                      <w:marRight w:val="0"/>
                      <w:marTop w:val="0"/>
                      <w:marBottom w:val="0"/>
                      <w:divBdr>
                        <w:top w:val="none" w:sz="0" w:space="0" w:color="auto"/>
                        <w:left w:val="none" w:sz="0" w:space="0" w:color="auto"/>
                        <w:bottom w:val="none" w:sz="0" w:space="0" w:color="auto"/>
                        <w:right w:val="none" w:sz="0" w:space="0" w:color="auto"/>
                      </w:divBdr>
                      <w:divsChild>
                        <w:div w:id="88363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555340">
                      <w:marLeft w:val="0"/>
                      <w:marRight w:val="0"/>
                      <w:marTop w:val="0"/>
                      <w:marBottom w:val="0"/>
                      <w:divBdr>
                        <w:top w:val="none" w:sz="0" w:space="0" w:color="auto"/>
                        <w:left w:val="none" w:sz="0" w:space="0" w:color="auto"/>
                        <w:bottom w:val="none" w:sz="0" w:space="0" w:color="auto"/>
                        <w:right w:val="none" w:sz="0" w:space="0" w:color="auto"/>
                      </w:divBdr>
                      <w:divsChild>
                        <w:div w:id="2143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099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585105">
                      <w:marLeft w:val="0"/>
                      <w:marRight w:val="0"/>
                      <w:marTop w:val="0"/>
                      <w:marBottom w:val="0"/>
                      <w:divBdr>
                        <w:top w:val="none" w:sz="0" w:space="0" w:color="auto"/>
                        <w:left w:val="none" w:sz="0" w:space="0" w:color="auto"/>
                        <w:bottom w:val="none" w:sz="0" w:space="0" w:color="auto"/>
                        <w:right w:val="none" w:sz="0" w:space="0" w:color="auto"/>
                      </w:divBdr>
                      <w:divsChild>
                        <w:div w:id="23744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32185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480048">
                          <w:marLeft w:val="0"/>
                          <w:marRight w:val="0"/>
                          <w:marTop w:val="0"/>
                          <w:marBottom w:val="0"/>
                          <w:divBdr>
                            <w:top w:val="none" w:sz="0" w:space="0" w:color="auto"/>
                            <w:left w:val="none" w:sz="0" w:space="0" w:color="auto"/>
                            <w:bottom w:val="none" w:sz="0" w:space="0" w:color="auto"/>
                            <w:right w:val="none" w:sz="0" w:space="0" w:color="auto"/>
                          </w:divBdr>
                          <w:divsChild>
                            <w:div w:id="1179932957">
                              <w:marLeft w:val="0"/>
                              <w:marRight w:val="0"/>
                              <w:marTop w:val="0"/>
                              <w:marBottom w:val="0"/>
                              <w:divBdr>
                                <w:top w:val="none" w:sz="0" w:space="0" w:color="auto"/>
                                <w:left w:val="none" w:sz="0" w:space="0" w:color="auto"/>
                                <w:bottom w:val="none" w:sz="0" w:space="0" w:color="auto"/>
                                <w:right w:val="none" w:sz="0" w:space="0" w:color="auto"/>
                              </w:divBdr>
                            </w:div>
                            <w:div w:id="13770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2211">
                  <w:marLeft w:val="0"/>
                  <w:marRight w:val="0"/>
                  <w:marTop w:val="0"/>
                  <w:marBottom w:val="0"/>
                  <w:divBdr>
                    <w:top w:val="none" w:sz="0" w:space="0" w:color="auto"/>
                    <w:left w:val="none" w:sz="0" w:space="0" w:color="auto"/>
                    <w:bottom w:val="none" w:sz="0" w:space="0" w:color="auto"/>
                    <w:right w:val="none" w:sz="0" w:space="0" w:color="auto"/>
                  </w:divBdr>
                  <w:divsChild>
                    <w:div w:id="7658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02213">
                  <w:marLeft w:val="0"/>
                  <w:marRight w:val="0"/>
                  <w:marTop w:val="0"/>
                  <w:marBottom w:val="0"/>
                  <w:divBdr>
                    <w:top w:val="none" w:sz="0" w:space="0" w:color="auto"/>
                    <w:left w:val="none" w:sz="0" w:space="0" w:color="auto"/>
                    <w:bottom w:val="none" w:sz="0" w:space="0" w:color="auto"/>
                    <w:right w:val="none" w:sz="0" w:space="0" w:color="auto"/>
                  </w:divBdr>
                  <w:divsChild>
                    <w:div w:id="17785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73668">
                      <w:marLeft w:val="0"/>
                      <w:marRight w:val="0"/>
                      <w:marTop w:val="0"/>
                      <w:marBottom w:val="0"/>
                      <w:divBdr>
                        <w:top w:val="none" w:sz="0" w:space="0" w:color="auto"/>
                        <w:left w:val="none" w:sz="0" w:space="0" w:color="auto"/>
                        <w:bottom w:val="none" w:sz="0" w:space="0" w:color="auto"/>
                        <w:right w:val="none" w:sz="0" w:space="0" w:color="auto"/>
                      </w:divBdr>
                    </w:div>
                    <w:div w:id="36707198">
                      <w:marLeft w:val="0"/>
                      <w:marRight w:val="0"/>
                      <w:marTop w:val="0"/>
                      <w:marBottom w:val="0"/>
                      <w:divBdr>
                        <w:top w:val="none" w:sz="0" w:space="0" w:color="auto"/>
                        <w:left w:val="none" w:sz="0" w:space="0" w:color="auto"/>
                        <w:bottom w:val="none" w:sz="0" w:space="0" w:color="auto"/>
                        <w:right w:val="none" w:sz="0" w:space="0" w:color="auto"/>
                      </w:divBdr>
                    </w:div>
                    <w:div w:id="1143154423">
                      <w:marLeft w:val="0"/>
                      <w:marRight w:val="0"/>
                      <w:marTop w:val="0"/>
                      <w:marBottom w:val="0"/>
                      <w:divBdr>
                        <w:top w:val="none" w:sz="0" w:space="0" w:color="auto"/>
                        <w:left w:val="none" w:sz="0" w:space="0" w:color="auto"/>
                        <w:bottom w:val="none" w:sz="0" w:space="0" w:color="auto"/>
                        <w:right w:val="none" w:sz="0" w:space="0" w:color="auto"/>
                      </w:divBdr>
                    </w:div>
                    <w:div w:id="781458596">
                      <w:marLeft w:val="0"/>
                      <w:marRight w:val="0"/>
                      <w:marTop w:val="0"/>
                      <w:marBottom w:val="0"/>
                      <w:divBdr>
                        <w:top w:val="none" w:sz="0" w:space="0" w:color="auto"/>
                        <w:left w:val="none" w:sz="0" w:space="0" w:color="auto"/>
                        <w:bottom w:val="none" w:sz="0" w:space="0" w:color="auto"/>
                        <w:right w:val="none" w:sz="0" w:space="0" w:color="auto"/>
                      </w:divBdr>
                      <w:divsChild>
                        <w:div w:id="171418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5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75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371241">
                          <w:blockQuote w:val="1"/>
                          <w:marLeft w:val="720"/>
                          <w:marRight w:val="720"/>
                          <w:marTop w:val="100"/>
                          <w:marBottom w:val="100"/>
                          <w:divBdr>
                            <w:top w:val="none" w:sz="0" w:space="0" w:color="auto"/>
                            <w:left w:val="none" w:sz="0" w:space="0" w:color="auto"/>
                            <w:bottom w:val="none" w:sz="0" w:space="0" w:color="auto"/>
                            <w:right w:val="none" w:sz="0" w:space="0" w:color="auto"/>
                          </w:divBdr>
                        </w:div>
                        <w:div w:id="746347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78909">
                      <w:marLeft w:val="0"/>
                      <w:marRight w:val="0"/>
                      <w:marTop w:val="0"/>
                      <w:marBottom w:val="0"/>
                      <w:divBdr>
                        <w:top w:val="none" w:sz="0" w:space="0" w:color="auto"/>
                        <w:left w:val="none" w:sz="0" w:space="0" w:color="auto"/>
                        <w:bottom w:val="none" w:sz="0" w:space="0" w:color="auto"/>
                        <w:right w:val="none" w:sz="0" w:space="0" w:color="auto"/>
                      </w:divBdr>
                      <w:divsChild>
                        <w:div w:id="151611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77899136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013824">
                          <w:marLeft w:val="0"/>
                          <w:marRight w:val="0"/>
                          <w:marTop w:val="0"/>
                          <w:marBottom w:val="0"/>
                          <w:divBdr>
                            <w:top w:val="none" w:sz="0" w:space="0" w:color="auto"/>
                            <w:left w:val="none" w:sz="0" w:space="0" w:color="auto"/>
                            <w:bottom w:val="none" w:sz="0" w:space="0" w:color="auto"/>
                            <w:right w:val="none" w:sz="0" w:space="0" w:color="auto"/>
                          </w:divBdr>
                        </w:div>
                        <w:div w:id="19558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67933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274309">
                      <w:marLeft w:val="0"/>
                      <w:marRight w:val="0"/>
                      <w:marTop w:val="0"/>
                      <w:marBottom w:val="0"/>
                      <w:divBdr>
                        <w:top w:val="none" w:sz="0" w:space="0" w:color="auto"/>
                        <w:left w:val="none" w:sz="0" w:space="0" w:color="auto"/>
                        <w:bottom w:val="none" w:sz="0" w:space="0" w:color="auto"/>
                        <w:right w:val="none" w:sz="0" w:space="0" w:color="auto"/>
                      </w:divBdr>
                      <w:divsChild>
                        <w:div w:id="489297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1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1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5169223">
                  <w:marLeft w:val="0"/>
                  <w:marRight w:val="0"/>
                  <w:marTop w:val="0"/>
                  <w:marBottom w:val="0"/>
                  <w:divBdr>
                    <w:top w:val="none" w:sz="0" w:space="0" w:color="auto"/>
                    <w:left w:val="none" w:sz="0" w:space="0" w:color="auto"/>
                    <w:bottom w:val="none" w:sz="0" w:space="0" w:color="auto"/>
                    <w:right w:val="none" w:sz="0" w:space="0" w:color="auto"/>
                  </w:divBdr>
                  <w:divsChild>
                    <w:div w:id="174256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60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3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6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8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33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377237">
                  <w:marLeft w:val="0"/>
                  <w:marRight w:val="0"/>
                  <w:marTop w:val="0"/>
                  <w:marBottom w:val="0"/>
                  <w:divBdr>
                    <w:top w:val="none" w:sz="0" w:space="0" w:color="auto"/>
                    <w:left w:val="none" w:sz="0" w:space="0" w:color="auto"/>
                    <w:bottom w:val="none" w:sz="0" w:space="0" w:color="auto"/>
                    <w:right w:val="none" w:sz="0" w:space="0" w:color="auto"/>
                  </w:divBdr>
                </w:div>
              </w:divsChild>
            </w:div>
            <w:div w:id="1203591878">
              <w:marLeft w:val="0"/>
              <w:marRight w:val="0"/>
              <w:marTop w:val="0"/>
              <w:marBottom w:val="0"/>
              <w:divBdr>
                <w:top w:val="none" w:sz="0" w:space="0" w:color="auto"/>
                <w:left w:val="none" w:sz="0" w:space="0" w:color="auto"/>
                <w:bottom w:val="none" w:sz="0" w:space="0" w:color="auto"/>
                <w:right w:val="none" w:sz="0" w:space="0" w:color="auto"/>
              </w:divBdr>
              <w:divsChild>
                <w:div w:id="210583828">
                  <w:marLeft w:val="0"/>
                  <w:marRight w:val="0"/>
                  <w:marTop w:val="0"/>
                  <w:marBottom w:val="0"/>
                  <w:divBdr>
                    <w:top w:val="none" w:sz="0" w:space="0" w:color="auto"/>
                    <w:left w:val="none" w:sz="0" w:space="0" w:color="auto"/>
                    <w:bottom w:val="none" w:sz="0" w:space="0" w:color="auto"/>
                    <w:right w:val="none" w:sz="0" w:space="0" w:color="auto"/>
                  </w:divBdr>
                </w:div>
                <w:div w:id="1299262839">
                  <w:marLeft w:val="0"/>
                  <w:marRight w:val="0"/>
                  <w:marTop w:val="0"/>
                  <w:marBottom w:val="0"/>
                  <w:divBdr>
                    <w:top w:val="none" w:sz="0" w:space="0" w:color="auto"/>
                    <w:left w:val="none" w:sz="0" w:space="0" w:color="auto"/>
                    <w:bottom w:val="none" w:sz="0" w:space="0" w:color="auto"/>
                    <w:right w:val="none" w:sz="0" w:space="0" w:color="auto"/>
                  </w:divBdr>
                  <w:divsChild>
                    <w:div w:id="841625810">
                      <w:marLeft w:val="0"/>
                      <w:marRight w:val="0"/>
                      <w:marTop w:val="300"/>
                      <w:marBottom w:val="0"/>
                      <w:divBdr>
                        <w:top w:val="none" w:sz="0" w:space="0" w:color="auto"/>
                        <w:left w:val="none" w:sz="0" w:space="0" w:color="auto"/>
                        <w:bottom w:val="none" w:sz="0" w:space="0" w:color="auto"/>
                        <w:right w:val="none" w:sz="0" w:space="0" w:color="auto"/>
                      </w:divBdr>
                    </w:div>
                    <w:div w:id="128744995">
                      <w:marLeft w:val="0"/>
                      <w:marRight w:val="0"/>
                      <w:marTop w:val="300"/>
                      <w:marBottom w:val="0"/>
                      <w:divBdr>
                        <w:top w:val="none" w:sz="0" w:space="0" w:color="auto"/>
                        <w:left w:val="none" w:sz="0" w:space="0" w:color="auto"/>
                        <w:bottom w:val="none" w:sz="0" w:space="0" w:color="auto"/>
                        <w:right w:val="none" w:sz="0" w:space="0" w:color="auto"/>
                      </w:divBdr>
                    </w:div>
                    <w:div w:id="1058747582">
                      <w:marLeft w:val="0"/>
                      <w:marRight w:val="0"/>
                      <w:marTop w:val="300"/>
                      <w:marBottom w:val="0"/>
                      <w:divBdr>
                        <w:top w:val="none" w:sz="0" w:space="0" w:color="auto"/>
                        <w:left w:val="none" w:sz="0" w:space="0" w:color="auto"/>
                        <w:bottom w:val="none" w:sz="0" w:space="0" w:color="auto"/>
                        <w:right w:val="none" w:sz="0" w:space="0" w:color="auto"/>
                      </w:divBdr>
                    </w:div>
                    <w:div w:id="1948854647">
                      <w:marLeft w:val="0"/>
                      <w:marRight w:val="0"/>
                      <w:marTop w:val="300"/>
                      <w:marBottom w:val="0"/>
                      <w:divBdr>
                        <w:top w:val="none" w:sz="0" w:space="0" w:color="auto"/>
                        <w:left w:val="none" w:sz="0" w:space="0" w:color="auto"/>
                        <w:bottom w:val="none" w:sz="0" w:space="0" w:color="auto"/>
                        <w:right w:val="none" w:sz="0" w:space="0" w:color="auto"/>
                      </w:divBdr>
                    </w:div>
                    <w:div w:id="1145968116">
                      <w:marLeft w:val="0"/>
                      <w:marRight w:val="0"/>
                      <w:marTop w:val="300"/>
                      <w:marBottom w:val="0"/>
                      <w:divBdr>
                        <w:top w:val="none" w:sz="0" w:space="0" w:color="auto"/>
                        <w:left w:val="none" w:sz="0" w:space="0" w:color="auto"/>
                        <w:bottom w:val="none" w:sz="0" w:space="0" w:color="auto"/>
                        <w:right w:val="none" w:sz="0" w:space="0" w:color="auto"/>
                      </w:divBdr>
                    </w:div>
                    <w:div w:id="1301575291">
                      <w:marLeft w:val="0"/>
                      <w:marRight w:val="0"/>
                      <w:marTop w:val="300"/>
                      <w:marBottom w:val="0"/>
                      <w:divBdr>
                        <w:top w:val="none" w:sz="0" w:space="0" w:color="auto"/>
                        <w:left w:val="none" w:sz="0" w:space="0" w:color="auto"/>
                        <w:bottom w:val="none" w:sz="0" w:space="0" w:color="auto"/>
                        <w:right w:val="none" w:sz="0" w:space="0" w:color="auto"/>
                      </w:divBdr>
                    </w:div>
                    <w:div w:id="2025089543">
                      <w:marLeft w:val="0"/>
                      <w:marRight w:val="0"/>
                      <w:marTop w:val="300"/>
                      <w:marBottom w:val="0"/>
                      <w:divBdr>
                        <w:top w:val="none" w:sz="0" w:space="0" w:color="auto"/>
                        <w:left w:val="none" w:sz="0" w:space="0" w:color="auto"/>
                        <w:bottom w:val="none" w:sz="0" w:space="0" w:color="auto"/>
                        <w:right w:val="none" w:sz="0" w:space="0" w:color="auto"/>
                      </w:divBdr>
                    </w:div>
                    <w:div w:id="613293779">
                      <w:marLeft w:val="0"/>
                      <w:marRight w:val="0"/>
                      <w:marTop w:val="300"/>
                      <w:marBottom w:val="0"/>
                      <w:divBdr>
                        <w:top w:val="none" w:sz="0" w:space="0" w:color="auto"/>
                        <w:left w:val="none" w:sz="0" w:space="0" w:color="auto"/>
                        <w:bottom w:val="none" w:sz="0" w:space="0" w:color="auto"/>
                        <w:right w:val="none" w:sz="0" w:space="0" w:color="auto"/>
                      </w:divBdr>
                    </w:div>
                    <w:div w:id="589003866">
                      <w:marLeft w:val="0"/>
                      <w:marRight w:val="0"/>
                      <w:marTop w:val="300"/>
                      <w:marBottom w:val="0"/>
                      <w:divBdr>
                        <w:top w:val="none" w:sz="0" w:space="0" w:color="auto"/>
                        <w:left w:val="none" w:sz="0" w:space="0" w:color="auto"/>
                        <w:bottom w:val="none" w:sz="0" w:space="0" w:color="auto"/>
                        <w:right w:val="none" w:sz="0" w:space="0" w:color="auto"/>
                      </w:divBdr>
                    </w:div>
                    <w:div w:id="856504433">
                      <w:marLeft w:val="0"/>
                      <w:marRight w:val="0"/>
                      <w:marTop w:val="300"/>
                      <w:marBottom w:val="0"/>
                      <w:divBdr>
                        <w:top w:val="none" w:sz="0" w:space="0" w:color="auto"/>
                        <w:left w:val="none" w:sz="0" w:space="0" w:color="auto"/>
                        <w:bottom w:val="none" w:sz="0" w:space="0" w:color="auto"/>
                        <w:right w:val="none" w:sz="0" w:space="0" w:color="auto"/>
                      </w:divBdr>
                    </w:div>
                    <w:div w:id="1522746472">
                      <w:marLeft w:val="0"/>
                      <w:marRight w:val="0"/>
                      <w:marTop w:val="300"/>
                      <w:marBottom w:val="0"/>
                      <w:divBdr>
                        <w:top w:val="none" w:sz="0" w:space="0" w:color="auto"/>
                        <w:left w:val="none" w:sz="0" w:space="0" w:color="auto"/>
                        <w:bottom w:val="none" w:sz="0" w:space="0" w:color="auto"/>
                        <w:right w:val="none" w:sz="0" w:space="0" w:color="auto"/>
                      </w:divBdr>
                    </w:div>
                    <w:div w:id="1897818457">
                      <w:marLeft w:val="0"/>
                      <w:marRight w:val="0"/>
                      <w:marTop w:val="300"/>
                      <w:marBottom w:val="0"/>
                      <w:divBdr>
                        <w:top w:val="none" w:sz="0" w:space="0" w:color="auto"/>
                        <w:left w:val="none" w:sz="0" w:space="0" w:color="auto"/>
                        <w:bottom w:val="none" w:sz="0" w:space="0" w:color="auto"/>
                        <w:right w:val="none" w:sz="0" w:space="0" w:color="auto"/>
                      </w:divBdr>
                    </w:div>
                    <w:div w:id="694230530">
                      <w:marLeft w:val="0"/>
                      <w:marRight w:val="0"/>
                      <w:marTop w:val="300"/>
                      <w:marBottom w:val="0"/>
                      <w:divBdr>
                        <w:top w:val="none" w:sz="0" w:space="0" w:color="auto"/>
                        <w:left w:val="none" w:sz="0" w:space="0" w:color="auto"/>
                        <w:bottom w:val="none" w:sz="0" w:space="0" w:color="auto"/>
                        <w:right w:val="none" w:sz="0" w:space="0" w:color="auto"/>
                      </w:divBdr>
                    </w:div>
                    <w:div w:id="1250432578">
                      <w:marLeft w:val="0"/>
                      <w:marRight w:val="0"/>
                      <w:marTop w:val="300"/>
                      <w:marBottom w:val="0"/>
                      <w:divBdr>
                        <w:top w:val="none" w:sz="0" w:space="0" w:color="auto"/>
                        <w:left w:val="none" w:sz="0" w:space="0" w:color="auto"/>
                        <w:bottom w:val="none" w:sz="0" w:space="0" w:color="auto"/>
                        <w:right w:val="none" w:sz="0" w:space="0" w:color="auto"/>
                      </w:divBdr>
                    </w:div>
                    <w:div w:id="2036072992">
                      <w:marLeft w:val="0"/>
                      <w:marRight w:val="0"/>
                      <w:marTop w:val="300"/>
                      <w:marBottom w:val="0"/>
                      <w:divBdr>
                        <w:top w:val="none" w:sz="0" w:space="0" w:color="auto"/>
                        <w:left w:val="none" w:sz="0" w:space="0" w:color="auto"/>
                        <w:bottom w:val="none" w:sz="0" w:space="0" w:color="auto"/>
                        <w:right w:val="none" w:sz="0" w:space="0" w:color="auto"/>
                      </w:divBdr>
                    </w:div>
                    <w:div w:id="383139295">
                      <w:marLeft w:val="0"/>
                      <w:marRight w:val="0"/>
                      <w:marTop w:val="300"/>
                      <w:marBottom w:val="0"/>
                      <w:divBdr>
                        <w:top w:val="none" w:sz="0" w:space="0" w:color="auto"/>
                        <w:left w:val="none" w:sz="0" w:space="0" w:color="auto"/>
                        <w:bottom w:val="none" w:sz="0" w:space="0" w:color="auto"/>
                        <w:right w:val="none" w:sz="0" w:space="0" w:color="auto"/>
                      </w:divBdr>
                    </w:div>
                    <w:div w:id="491482967">
                      <w:marLeft w:val="0"/>
                      <w:marRight w:val="0"/>
                      <w:marTop w:val="300"/>
                      <w:marBottom w:val="0"/>
                      <w:divBdr>
                        <w:top w:val="none" w:sz="0" w:space="0" w:color="auto"/>
                        <w:left w:val="none" w:sz="0" w:space="0" w:color="auto"/>
                        <w:bottom w:val="none" w:sz="0" w:space="0" w:color="auto"/>
                        <w:right w:val="none" w:sz="0" w:space="0" w:color="auto"/>
                      </w:divBdr>
                    </w:div>
                    <w:div w:id="1948731840">
                      <w:marLeft w:val="0"/>
                      <w:marRight w:val="0"/>
                      <w:marTop w:val="300"/>
                      <w:marBottom w:val="0"/>
                      <w:divBdr>
                        <w:top w:val="none" w:sz="0" w:space="0" w:color="auto"/>
                        <w:left w:val="none" w:sz="0" w:space="0" w:color="auto"/>
                        <w:bottom w:val="none" w:sz="0" w:space="0" w:color="auto"/>
                        <w:right w:val="none" w:sz="0" w:space="0" w:color="auto"/>
                      </w:divBdr>
                    </w:div>
                    <w:div w:id="1503744303">
                      <w:marLeft w:val="0"/>
                      <w:marRight w:val="0"/>
                      <w:marTop w:val="300"/>
                      <w:marBottom w:val="0"/>
                      <w:divBdr>
                        <w:top w:val="none" w:sz="0" w:space="0" w:color="auto"/>
                        <w:left w:val="none" w:sz="0" w:space="0" w:color="auto"/>
                        <w:bottom w:val="none" w:sz="0" w:space="0" w:color="auto"/>
                        <w:right w:val="none" w:sz="0" w:space="0" w:color="auto"/>
                      </w:divBdr>
                    </w:div>
                    <w:div w:id="582029339">
                      <w:marLeft w:val="0"/>
                      <w:marRight w:val="0"/>
                      <w:marTop w:val="300"/>
                      <w:marBottom w:val="0"/>
                      <w:divBdr>
                        <w:top w:val="none" w:sz="0" w:space="0" w:color="auto"/>
                        <w:left w:val="none" w:sz="0" w:space="0" w:color="auto"/>
                        <w:bottom w:val="none" w:sz="0" w:space="0" w:color="auto"/>
                        <w:right w:val="none" w:sz="0" w:space="0" w:color="auto"/>
                      </w:divBdr>
                    </w:div>
                    <w:div w:id="1889684875">
                      <w:marLeft w:val="0"/>
                      <w:marRight w:val="0"/>
                      <w:marTop w:val="300"/>
                      <w:marBottom w:val="0"/>
                      <w:divBdr>
                        <w:top w:val="none" w:sz="0" w:space="0" w:color="auto"/>
                        <w:left w:val="none" w:sz="0" w:space="0" w:color="auto"/>
                        <w:bottom w:val="none" w:sz="0" w:space="0" w:color="auto"/>
                        <w:right w:val="none" w:sz="0" w:space="0" w:color="auto"/>
                      </w:divBdr>
                    </w:div>
                    <w:div w:id="1860852195">
                      <w:marLeft w:val="0"/>
                      <w:marRight w:val="0"/>
                      <w:marTop w:val="300"/>
                      <w:marBottom w:val="0"/>
                      <w:divBdr>
                        <w:top w:val="none" w:sz="0" w:space="0" w:color="auto"/>
                        <w:left w:val="none" w:sz="0" w:space="0" w:color="auto"/>
                        <w:bottom w:val="none" w:sz="0" w:space="0" w:color="auto"/>
                        <w:right w:val="none" w:sz="0" w:space="0" w:color="auto"/>
                      </w:divBdr>
                    </w:div>
                    <w:div w:id="2101947134">
                      <w:marLeft w:val="0"/>
                      <w:marRight w:val="0"/>
                      <w:marTop w:val="300"/>
                      <w:marBottom w:val="0"/>
                      <w:divBdr>
                        <w:top w:val="none" w:sz="0" w:space="0" w:color="auto"/>
                        <w:left w:val="none" w:sz="0" w:space="0" w:color="auto"/>
                        <w:bottom w:val="none" w:sz="0" w:space="0" w:color="auto"/>
                        <w:right w:val="none" w:sz="0" w:space="0" w:color="auto"/>
                      </w:divBdr>
                    </w:div>
                    <w:div w:id="2030327155">
                      <w:marLeft w:val="0"/>
                      <w:marRight w:val="0"/>
                      <w:marTop w:val="300"/>
                      <w:marBottom w:val="0"/>
                      <w:divBdr>
                        <w:top w:val="none" w:sz="0" w:space="0" w:color="auto"/>
                        <w:left w:val="none" w:sz="0" w:space="0" w:color="auto"/>
                        <w:bottom w:val="none" w:sz="0" w:space="0" w:color="auto"/>
                        <w:right w:val="none" w:sz="0" w:space="0" w:color="auto"/>
                      </w:divBdr>
                    </w:div>
                    <w:div w:id="1085761976">
                      <w:marLeft w:val="0"/>
                      <w:marRight w:val="0"/>
                      <w:marTop w:val="300"/>
                      <w:marBottom w:val="0"/>
                      <w:divBdr>
                        <w:top w:val="none" w:sz="0" w:space="0" w:color="auto"/>
                        <w:left w:val="none" w:sz="0" w:space="0" w:color="auto"/>
                        <w:bottom w:val="none" w:sz="0" w:space="0" w:color="auto"/>
                        <w:right w:val="none" w:sz="0" w:space="0" w:color="auto"/>
                      </w:divBdr>
                    </w:div>
                    <w:div w:id="1670868824">
                      <w:marLeft w:val="0"/>
                      <w:marRight w:val="0"/>
                      <w:marTop w:val="300"/>
                      <w:marBottom w:val="0"/>
                      <w:divBdr>
                        <w:top w:val="none" w:sz="0" w:space="0" w:color="auto"/>
                        <w:left w:val="none" w:sz="0" w:space="0" w:color="auto"/>
                        <w:bottom w:val="none" w:sz="0" w:space="0" w:color="auto"/>
                        <w:right w:val="none" w:sz="0" w:space="0" w:color="auto"/>
                      </w:divBdr>
                    </w:div>
                    <w:div w:id="979653639">
                      <w:marLeft w:val="0"/>
                      <w:marRight w:val="0"/>
                      <w:marTop w:val="300"/>
                      <w:marBottom w:val="0"/>
                      <w:divBdr>
                        <w:top w:val="none" w:sz="0" w:space="0" w:color="auto"/>
                        <w:left w:val="none" w:sz="0" w:space="0" w:color="auto"/>
                        <w:bottom w:val="none" w:sz="0" w:space="0" w:color="auto"/>
                        <w:right w:val="none" w:sz="0" w:space="0" w:color="auto"/>
                      </w:divBdr>
                    </w:div>
                    <w:div w:id="918247844">
                      <w:marLeft w:val="0"/>
                      <w:marRight w:val="0"/>
                      <w:marTop w:val="300"/>
                      <w:marBottom w:val="0"/>
                      <w:divBdr>
                        <w:top w:val="none" w:sz="0" w:space="0" w:color="auto"/>
                        <w:left w:val="none" w:sz="0" w:space="0" w:color="auto"/>
                        <w:bottom w:val="none" w:sz="0" w:space="0" w:color="auto"/>
                        <w:right w:val="none" w:sz="0" w:space="0" w:color="auto"/>
                      </w:divBdr>
                    </w:div>
                    <w:div w:id="206262849">
                      <w:marLeft w:val="0"/>
                      <w:marRight w:val="0"/>
                      <w:marTop w:val="300"/>
                      <w:marBottom w:val="0"/>
                      <w:divBdr>
                        <w:top w:val="none" w:sz="0" w:space="0" w:color="auto"/>
                        <w:left w:val="none" w:sz="0" w:space="0" w:color="auto"/>
                        <w:bottom w:val="none" w:sz="0" w:space="0" w:color="auto"/>
                        <w:right w:val="none" w:sz="0" w:space="0" w:color="auto"/>
                      </w:divBdr>
                    </w:div>
                    <w:div w:id="827671403">
                      <w:marLeft w:val="0"/>
                      <w:marRight w:val="0"/>
                      <w:marTop w:val="300"/>
                      <w:marBottom w:val="0"/>
                      <w:divBdr>
                        <w:top w:val="none" w:sz="0" w:space="0" w:color="auto"/>
                        <w:left w:val="none" w:sz="0" w:space="0" w:color="auto"/>
                        <w:bottom w:val="none" w:sz="0" w:space="0" w:color="auto"/>
                        <w:right w:val="none" w:sz="0" w:space="0" w:color="auto"/>
                      </w:divBdr>
                    </w:div>
                    <w:div w:id="78069066">
                      <w:marLeft w:val="0"/>
                      <w:marRight w:val="0"/>
                      <w:marTop w:val="300"/>
                      <w:marBottom w:val="0"/>
                      <w:divBdr>
                        <w:top w:val="none" w:sz="0" w:space="0" w:color="auto"/>
                        <w:left w:val="none" w:sz="0" w:space="0" w:color="auto"/>
                        <w:bottom w:val="none" w:sz="0" w:space="0" w:color="auto"/>
                        <w:right w:val="none" w:sz="0" w:space="0" w:color="auto"/>
                      </w:divBdr>
                    </w:div>
                    <w:div w:id="1688553816">
                      <w:marLeft w:val="0"/>
                      <w:marRight w:val="0"/>
                      <w:marTop w:val="300"/>
                      <w:marBottom w:val="0"/>
                      <w:divBdr>
                        <w:top w:val="none" w:sz="0" w:space="0" w:color="auto"/>
                        <w:left w:val="none" w:sz="0" w:space="0" w:color="auto"/>
                        <w:bottom w:val="none" w:sz="0" w:space="0" w:color="auto"/>
                        <w:right w:val="none" w:sz="0" w:space="0" w:color="auto"/>
                      </w:divBdr>
                    </w:div>
                    <w:div w:id="1315447630">
                      <w:marLeft w:val="0"/>
                      <w:marRight w:val="0"/>
                      <w:marTop w:val="300"/>
                      <w:marBottom w:val="0"/>
                      <w:divBdr>
                        <w:top w:val="none" w:sz="0" w:space="0" w:color="auto"/>
                        <w:left w:val="none" w:sz="0" w:space="0" w:color="auto"/>
                        <w:bottom w:val="none" w:sz="0" w:space="0" w:color="auto"/>
                        <w:right w:val="none" w:sz="0" w:space="0" w:color="auto"/>
                      </w:divBdr>
                    </w:div>
                    <w:div w:id="1893343560">
                      <w:marLeft w:val="0"/>
                      <w:marRight w:val="0"/>
                      <w:marTop w:val="300"/>
                      <w:marBottom w:val="0"/>
                      <w:divBdr>
                        <w:top w:val="none" w:sz="0" w:space="0" w:color="auto"/>
                        <w:left w:val="none" w:sz="0" w:space="0" w:color="auto"/>
                        <w:bottom w:val="none" w:sz="0" w:space="0" w:color="auto"/>
                        <w:right w:val="none" w:sz="0" w:space="0" w:color="auto"/>
                      </w:divBdr>
                    </w:div>
                    <w:div w:id="1515456291">
                      <w:marLeft w:val="0"/>
                      <w:marRight w:val="0"/>
                      <w:marTop w:val="300"/>
                      <w:marBottom w:val="0"/>
                      <w:divBdr>
                        <w:top w:val="none" w:sz="0" w:space="0" w:color="auto"/>
                        <w:left w:val="none" w:sz="0" w:space="0" w:color="auto"/>
                        <w:bottom w:val="none" w:sz="0" w:space="0" w:color="auto"/>
                        <w:right w:val="none" w:sz="0" w:space="0" w:color="auto"/>
                      </w:divBdr>
                    </w:div>
                    <w:div w:id="1108231818">
                      <w:marLeft w:val="0"/>
                      <w:marRight w:val="0"/>
                      <w:marTop w:val="300"/>
                      <w:marBottom w:val="0"/>
                      <w:divBdr>
                        <w:top w:val="none" w:sz="0" w:space="0" w:color="auto"/>
                        <w:left w:val="none" w:sz="0" w:space="0" w:color="auto"/>
                        <w:bottom w:val="none" w:sz="0" w:space="0" w:color="auto"/>
                        <w:right w:val="none" w:sz="0" w:space="0" w:color="auto"/>
                      </w:divBdr>
                    </w:div>
                    <w:div w:id="1060519743">
                      <w:marLeft w:val="0"/>
                      <w:marRight w:val="0"/>
                      <w:marTop w:val="300"/>
                      <w:marBottom w:val="0"/>
                      <w:divBdr>
                        <w:top w:val="none" w:sz="0" w:space="0" w:color="auto"/>
                        <w:left w:val="none" w:sz="0" w:space="0" w:color="auto"/>
                        <w:bottom w:val="none" w:sz="0" w:space="0" w:color="auto"/>
                        <w:right w:val="none" w:sz="0" w:space="0" w:color="auto"/>
                      </w:divBdr>
                    </w:div>
                    <w:div w:id="1907380151">
                      <w:marLeft w:val="0"/>
                      <w:marRight w:val="0"/>
                      <w:marTop w:val="300"/>
                      <w:marBottom w:val="0"/>
                      <w:divBdr>
                        <w:top w:val="none" w:sz="0" w:space="0" w:color="auto"/>
                        <w:left w:val="none" w:sz="0" w:space="0" w:color="auto"/>
                        <w:bottom w:val="none" w:sz="0" w:space="0" w:color="auto"/>
                        <w:right w:val="none" w:sz="0" w:space="0" w:color="auto"/>
                      </w:divBdr>
                    </w:div>
                    <w:div w:id="1165437037">
                      <w:marLeft w:val="0"/>
                      <w:marRight w:val="0"/>
                      <w:marTop w:val="300"/>
                      <w:marBottom w:val="0"/>
                      <w:divBdr>
                        <w:top w:val="none" w:sz="0" w:space="0" w:color="auto"/>
                        <w:left w:val="none" w:sz="0" w:space="0" w:color="auto"/>
                        <w:bottom w:val="none" w:sz="0" w:space="0" w:color="auto"/>
                        <w:right w:val="none" w:sz="0" w:space="0" w:color="auto"/>
                      </w:divBdr>
                    </w:div>
                    <w:div w:id="63836750">
                      <w:marLeft w:val="0"/>
                      <w:marRight w:val="0"/>
                      <w:marTop w:val="300"/>
                      <w:marBottom w:val="0"/>
                      <w:divBdr>
                        <w:top w:val="none" w:sz="0" w:space="0" w:color="auto"/>
                        <w:left w:val="none" w:sz="0" w:space="0" w:color="auto"/>
                        <w:bottom w:val="none" w:sz="0" w:space="0" w:color="auto"/>
                        <w:right w:val="none" w:sz="0" w:space="0" w:color="auto"/>
                      </w:divBdr>
                    </w:div>
                    <w:div w:id="1018389203">
                      <w:marLeft w:val="0"/>
                      <w:marRight w:val="0"/>
                      <w:marTop w:val="300"/>
                      <w:marBottom w:val="0"/>
                      <w:divBdr>
                        <w:top w:val="none" w:sz="0" w:space="0" w:color="auto"/>
                        <w:left w:val="none" w:sz="0" w:space="0" w:color="auto"/>
                        <w:bottom w:val="none" w:sz="0" w:space="0" w:color="auto"/>
                        <w:right w:val="none" w:sz="0" w:space="0" w:color="auto"/>
                      </w:divBdr>
                    </w:div>
                    <w:div w:id="1449353048">
                      <w:marLeft w:val="0"/>
                      <w:marRight w:val="0"/>
                      <w:marTop w:val="300"/>
                      <w:marBottom w:val="0"/>
                      <w:divBdr>
                        <w:top w:val="none" w:sz="0" w:space="0" w:color="auto"/>
                        <w:left w:val="none" w:sz="0" w:space="0" w:color="auto"/>
                        <w:bottom w:val="none" w:sz="0" w:space="0" w:color="auto"/>
                        <w:right w:val="none" w:sz="0" w:space="0" w:color="auto"/>
                      </w:divBdr>
                    </w:div>
                    <w:div w:id="1585454802">
                      <w:marLeft w:val="0"/>
                      <w:marRight w:val="0"/>
                      <w:marTop w:val="300"/>
                      <w:marBottom w:val="0"/>
                      <w:divBdr>
                        <w:top w:val="none" w:sz="0" w:space="0" w:color="auto"/>
                        <w:left w:val="none" w:sz="0" w:space="0" w:color="auto"/>
                        <w:bottom w:val="none" w:sz="0" w:space="0" w:color="auto"/>
                        <w:right w:val="none" w:sz="0" w:space="0" w:color="auto"/>
                      </w:divBdr>
                    </w:div>
                    <w:div w:id="2043360088">
                      <w:marLeft w:val="0"/>
                      <w:marRight w:val="0"/>
                      <w:marTop w:val="300"/>
                      <w:marBottom w:val="0"/>
                      <w:divBdr>
                        <w:top w:val="none" w:sz="0" w:space="0" w:color="auto"/>
                        <w:left w:val="none" w:sz="0" w:space="0" w:color="auto"/>
                        <w:bottom w:val="none" w:sz="0" w:space="0" w:color="auto"/>
                        <w:right w:val="none" w:sz="0" w:space="0" w:color="auto"/>
                      </w:divBdr>
                    </w:div>
                    <w:div w:id="1471441919">
                      <w:marLeft w:val="0"/>
                      <w:marRight w:val="0"/>
                      <w:marTop w:val="300"/>
                      <w:marBottom w:val="0"/>
                      <w:divBdr>
                        <w:top w:val="none" w:sz="0" w:space="0" w:color="auto"/>
                        <w:left w:val="none" w:sz="0" w:space="0" w:color="auto"/>
                        <w:bottom w:val="none" w:sz="0" w:space="0" w:color="auto"/>
                        <w:right w:val="none" w:sz="0" w:space="0" w:color="auto"/>
                      </w:divBdr>
                    </w:div>
                    <w:div w:id="1180582163">
                      <w:marLeft w:val="0"/>
                      <w:marRight w:val="0"/>
                      <w:marTop w:val="300"/>
                      <w:marBottom w:val="0"/>
                      <w:divBdr>
                        <w:top w:val="none" w:sz="0" w:space="0" w:color="auto"/>
                        <w:left w:val="none" w:sz="0" w:space="0" w:color="auto"/>
                        <w:bottom w:val="none" w:sz="0" w:space="0" w:color="auto"/>
                        <w:right w:val="none" w:sz="0" w:space="0" w:color="auto"/>
                      </w:divBdr>
                    </w:div>
                    <w:div w:id="4526110">
                      <w:marLeft w:val="0"/>
                      <w:marRight w:val="0"/>
                      <w:marTop w:val="300"/>
                      <w:marBottom w:val="0"/>
                      <w:divBdr>
                        <w:top w:val="none" w:sz="0" w:space="0" w:color="auto"/>
                        <w:left w:val="none" w:sz="0" w:space="0" w:color="auto"/>
                        <w:bottom w:val="none" w:sz="0" w:space="0" w:color="auto"/>
                        <w:right w:val="none" w:sz="0" w:space="0" w:color="auto"/>
                      </w:divBdr>
                    </w:div>
                    <w:div w:id="1690061186">
                      <w:marLeft w:val="0"/>
                      <w:marRight w:val="0"/>
                      <w:marTop w:val="300"/>
                      <w:marBottom w:val="0"/>
                      <w:divBdr>
                        <w:top w:val="none" w:sz="0" w:space="0" w:color="auto"/>
                        <w:left w:val="none" w:sz="0" w:space="0" w:color="auto"/>
                        <w:bottom w:val="none" w:sz="0" w:space="0" w:color="auto"/>
                        <w:right w:val="none" w:sz="0" w:space="0" w:color="auto"/>
                      </w:divBdr>
                    </w:div>
                    <w:div w:id="728500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142047">
              <w:marLeft w:val="0"/>
              <w:marRight w:val="0"/>
              <w:marTop w:val="0"/>
              <w:marBottom w:val="0"/>
              <w:divBdr>
                <w:top w:val="none" w:sz="0" w:space="0" w:color="auto"/>
                <w:left w:val="none" w:sz="0" w:space="0" w:color="auto"/>
                <w:bottom w:val="none" w:sz="0" w:space="0" w:color="auto"/>
                <w:right w:val="none" w:sz="0" w:space="0" w:color="auto"/>
              </w:divBdr>
              <w:divsChild>
                <w:div w:id="2673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lo.cl/scielo.php?script=sci_arttext&amp;pid=S0718-80722023000100263" TargetMode="External"/><Relationship Id="rId21" Type="http://schemas.openxmlformats.org/officeDocument/2006/relationships/hyperlink" Target="https://www.scielo.cl/scielo.php?script=sci_arttext&amp;pid=S0718-80722023000100263" TargetMode="External"/><Relationship Id="rId42" Type="http://schemas.openxmlformats.org/officeDocument/2006/relationships/hyperlink" Target="https://www.scielo.cl/scielo.php?script=sci_arttext&amp;pid=S0718-80722023000100263" TargetMode="External"/><Relationship Id="rId47" Type="http://schemas.openxmlformats.org/officeDocument/2006/relationships/hyperlink" Target="https://www.scielo.cl/scielo.php?script=sci_arttext&amp;pid=S0718-80722023000100263"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https://nysba.org/ethics-opinion-1088/" TargetMode="External"/><Relationship Id="rId112" Type="http://schemas.openxmlformats.org/officeDocument/2006/relationships/hyperlink" Target="https://www.scielo.cl/scielo.php?script=sci_arttext&amp;pid=S0718-80722023000100263" TargetMode="External"/><Relationship Id="rId16" Type="http://schemas.openxmlformats.org/officeDocument/2006/relationships/hyperlink" Target="https://www.scielo.cl/scielo.php?script=sci_arttext&amp;pid=S0718-80722023000100263" TargetMode="External"/><Relationship Id="rId107" Type="http://schemas.openxmlformats.org/officeDocument/2006/relationships/hyperlink" Target="https://www.scielo.cl/scielo.php?script=sci_arttext&amp;pid=S0718-80722023000100263" TargetMode="External"/><Relationship Id="rId11" Type="http://schemas.openxmlformats.org/officeDocument/2006/relationships/hyperlink" Target="https://www.scielo.cl/scielo.php?script=sci_arttext&amp;pid=S0718-80722023000100263" TargetMode="External"/><Relationship Id="rId32" Type="http://schemas.openxmlformats.org/officeDocument/2006/relationships/hyperlink" Target="https://www.scielo.cl/scielo.php?script=sci_arttext&amp;pid=S0718-80722023000100263" TargetMode="External"/><Relationship Id="rId37" Type="http://schemas.openxmlformats.org/officeDocument/2006/relationships/hyperlink" Target="https://www.scielo.cl/scielo.php?script=sci_arttext&amp;pid=S0718-80722023000100263" TargetMode="External"/><Relationship Id="rId53" Type="http://schemas.openxmlformats.org/officeDocument/2006/relationships/hyperlink" Target="https://www.scielo.cl/scielo.php?script=sci_arttext&amp;pid=S0718-80722023000100263" TargetMode="External"/><Relationship Id="rId58" Type="http://schemas.openxmlformats.org/officeDocument/2006/relationships/hyperlink" Target="https://www.scielo.cl/scielo.php?script=sci_arttext&amp;pid=S0718-80722023000100263" TargetMode="External"/><Relationship Id="rId74" Type="http://schemas.openxmlformats.org/officeDocument/2006/relationships/hyperlink" Target="javascript:void(0);" TargetMode="External"/><Relationship Id="rId79" Type="http://schemas.openxmlformats.org/officeDocument/2006/relationships/hyperlink" Target="https://flsc-s3-storage-pub.s3.ca-central-1.amazonaws.com/Model-Code-October-2019.pdf" TargetMode="External"/><Relationship Id="rId102" Type="http://schemas.openxmlformats.org/officeDocument/2006/relationships/hyperlink" Target="https://www.scielo.cl/scielo.php?script=sci_arttext&amp;pid=S0718-80722023000100263" TargetMode="External"/><Relationship Id="rId5" Type="http://schemas.openxmlformats.org/officeDocument/2006/relationships/hyperlink" Target="http://www.scielo.cl/scielo.php?script=sci_serial&amp;pid=0718-8072&amp;lng=es&amp;nrm=iso" TargetMode="External"/><Relationship Id="rId90" Type="http://schemas.openxmlformats.org/officeDocument/2006/relationships/hyperlink" Target="javascript:void(0);" TargetMode="External"/><Relationship Id="rId95" Type="http://schemas.openxmlformats.org/officeDocument/2006/relationships/hyperlink" Target="http://hj.tribunalconstitucional.es/cs/Resolucion/Show/363" TargetMode="External"/><Relationship Id="rId22" Type="http://schemas.openxmlformats.org/officeDocument/2006/relationships/hyperlink" Target="https://www.scielo.cl/scielo.php?script=sci_arttext&amp;pid=S0718-80722023000100263" TargetMode="External"/><Relationship Id="rId27" Type="http://schemas.openxmlformats.org/officeDocument/2006/relationships/hyperlink" Target="https://www.scielo.cl/scielo.php?script=sci_arttext&amp;pid=S0718-80722023000100263" TargetMode="External"/><Relationship Id="rId43" Type="http://schemas.openxmlformats.org/officeDocument/2006/relationships/hyperlink" Target="https://www.scielo.cl/scielo.php?script=sci_arttext&amp;pid=S0718-80722023000100263" TargetMode="External"/><Relationship Id="rId48" Type="http://schemas.openxmlformats.org/officeDocument/2006/relationships/hyperlink" Target="https://www.scielo.cl/scielo.php?script=sci_arttext&amp;pid=S0718-80722023000100263"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fontTable" Target="fontTable.xm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2" Type="http://schemas.openxmlformats.org/officeDocument/2006/relationships/hyperlink" Target="https://www.scielo.cl/scielo.php?script=sci_arttext&amp;pid=S0718-80722023000100263" TargetMode="External"/><Relationship Id="rId17" Type="http://schemas.openxmlformats.org/officeDocument/2006/relationships/hyperlink" Target="https://www.scielo.cl/scielo.php?script=sci_arttext&amp;pid=S0718-80722023000100263" TargetMode="External"/><Relationship Id="rId33" Type="http://schemas.openxmlformats.org/officeDocument/2006/relationships/hyperlink" Target="https://www.scielo.cl/scielo.php?script=sci_arttext&amp;pid=S0718-80722023000100263" TargetMode="External"/><Relationship Id="rId38" Type="http://schemas.openxmlformats.org/officeDocument/2006/relationships/hyperlink" Target="https://www.scielo.cl/scielo.php?script=sci_arttext&amp;pid=S0718-80722023000100263" TargetMode="External"/><Relationship Id="rId59" Type="http://schemas.openxmlformats.org/officeDocument/2006/relationships/hyperlink" Target="https://www.scielo.cl/scielo.php?script=sci_arttext&amp;pid=S0718-80722023000100263" TargetMode="External"/><Relationship Id="rId103" Type="http://schemas.openxmlformats.org/officeDocument/2006/relationships/hyperlink" Target="https://www.scielo.cl/scielo.php?script=sci_arttext&amp;pid=S0718-80722023000100263" TargetMode="External"/><Relationship Id="rId108" Type="http://schemas.openxmlformats.org/officeDocument/2006/relationships/hyperlink" Target="https://www.scielo.cl/scielo.php?script=sci_arttext&amp;pid=S0718-80722023000100263" TargetMode="External"/><Relationship Id="rId54" Type="http://schemas.openxmlformats.org/officeDocument/2006/relationships/hyperlink" Target="https://www.scielo.cl/scielo.php?script=sci_arttext&amp;pid=S0718-80722023000100263" TargetMode="External"/><Relationship Id="rId70" Type="http://schemas.openxmlformats.org/officeDocument/2006/relationships/hyperlink" Target="https://archivo.colegioabogados.cl/cgi-bin/procesa.pl?plantilla=/v2/archivo.html&amp;bri=colegioabogados&amp;tab=art_1&amp;campo=c_archivo&amp;id=200" TargetMode="External"/><Relationship Id="rId75" Type="http://schemas.openxmlformats.org/officeDocument/2006/relationships/hyperlink" Target="https://dx.doi.org/10.4067/S0718-80722013000200007"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s://www.scielo.cl/scielo.php?script=sci_arttext&amp;pid=S0718-80722023000100263" TargetMode="External"/><Relationship Id="rId15" Type="http://schemas.openxmlformats.org/officeDocument/2006/relationships/hyperlink" Target="https://www.scielo.cl/scielo.php?script=sci_arttext&amp;pid=S0718-80722023000100263" TargetMode="External"/><Relationship Id="rId23" Type="http://schemas.openxmlformats.org/officeDocument/2006/relationships/hyperlink" Target="https://www.scielo.cl/scielo.php?script=sci_arttext&amp;pid=S0718-80722023000100263" TargetMode="External"/><Relationship Id="rId28" Type="http://schemas.openxmlformats.org/officeDocument/2006/relationships/hyperlink" Target="https://www.scielo.cl/scielo.php?script=sci_arttext&amp;pid=S0718-80722023000100263" TargetMode="External"/><Relationship Id="rId36" Type="http://schemas.openxmlformats.org/officeDocument/2006/relationships/hyperlink" Target="https://www.scielo.cl/scielo.php?script=sci_arttext&amp;pid=S0718-80722023000100263" TargetMode="External"/><Relationship Id="rId49" Type="http://schemas.openxmlformats.org/officeDocument/2006/relationships/hyperlink" Target="https://www.scielo.cl/scielo.php?script=sci_arttext&amp;pid=S0718-80722023000100263" TargetMode="External"/><Relationship Id="rId57" Type="http://schemas.openxmlformats.org/officeDocument/2006/relationships/hyperlink" Target="https://www.scielo.cl/scielo.php?script=sci_arttext&amp;pid=S0718-80722023000100263" TargetMode="External"/><Relationship Id="rId106" Type="http://schemas.openxmlformats.org/officeDocument/2006/relationships/hyperlink" Target="https://www.scielo.cl/scielo.php?script=sci_arttext&amp;pid=S0718-80722023000100263" TargetMode="External"/><Relationship Id="rId114" Type="http://schemas.openxmlformats.org/officeDocument/2006/relationships/theme" Target="theme/theme1.xml"/><Relationship Id="rId10" Type="http://schemas.openxmlformats.org/officeDocument/2006/relationships/hyperlink" Target="https://www.scielo.cl/scielo.php?script=sci_arttext&amp;pid=S0718-80722023000100263" TargetMode="External"/><Relationship Id="rId31" Type="http://schemas.openxmlformats.org/officeDocument/2006/relationships/hyperlink" Target="https://www.scielo.cl/scielo.php?script=sci_arttext&amp;pid=S0718-80722023000100263" TargetMode="External"/><Relationship Id="rId44" Type="http://schemas.openxmlformats.org/officeDocument/2006/relationships/hyperlink" Target="https://www.scielo.cl/scielo.php?script=sci_arttext&amp;pid=S0718-80722023000100263" TargetMode="External"/><Relationship Id="rId52" Type="http://schemas.openxmlformats.org/officeDocument/2006/relationships/hyperlink" Target="https://www.scielo.cl/scielo.php?script=sci_arttext&amp;pid=S0718-80722023000100263" TargetMode="External"/><Relationship Id="rId60" Type="http://schemas.openxmlformats.org/officeDocument/2006/relationships/hyperlink" Target="https://www.scielo.cl/scielo.php?script=sci_arttext&amp;pid=S0718-80722023000100263"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https://www.scielo.cl/scielo.php?script=sci_arttext&amp;pid=S0718-80722023000100263" TargetMode="External"/><Relationship Id="rId101" Type="http://schemas.openxmlformats.org/officeDocument/2006/relationships/hyperlink" Target="https://www.scielo.cl/scielo.php?script=sci_arttext&amp;pid=S0718-80722023000100263" TargetMode="External"/><Relationship Id="rId4" Type="http://schemas.openxmlformats.org/officeDocument/2006/relationships/webSettings" Target="webSettings.xml"/><Relationship Id="rId9" Type="http://schemas.openxmlformats.org/officeDocument/2006/relationships/hyperlink" Target="https://www.scielo.cl/scielo.php?script=sci_arttext&amp;pid=S0718-80722023000100263" TargetMode="External"/><Relationship Id="rId13" Type="http://schemas.openxmlformats.org/officeDocument/2006/relationships/hyperlink" Target="https://www.scielo.cl/scielo.php?script=sci_arttext&amp;pid=S0718-80722023000100263" TargetMode="External"/><Relationship Id="rId18" Type="http://schemas.openxmlformats.org/officeDocument/2006/relationships/hyperlink" Target="https://www.scielo.cl/scielo.php?script=sci_arttext&amp;pid=S0718-80722023000100263" TargetMode="External"/><Relationship Id="rId39" Type="http://schemas.openxmlformats.org/officeDocument/2006/relationships/hyperlink" Target="https://www.scielo.cl/scielo.php?script=sci_arttext&amp;pid=S0718-80722023000100263" TargetMode="External"/><Relationship Id="rId109" Type="http://schemas.openxmlformats.org/officeDocument/2006/relationships/hyperlink" Target="https://www.scielo.cl/scielo.php?script=sci_arttext&amp;pid=S0718-80722023000100263" TargetMode="External"/><Relationship Id="rId34" Type="http://schemas.openxmlformats.org/officeDocument/2006/relationships/hyperlink" Target="https://www.scielo.cl/scielo.php?script=sci_arttext&amp;pid=S0718-80722023000100263" TargetMode="External"/><Relationship Id="rId50" Type="http://schemas.openxmlformats.org/officeDocument/2006/relationships/hyperlink" Target="https://www.scielo.cl/scielo.php?script=sci_arttext&amp;pid=S0718-80722023000100263" TargetMode="External"/><Relationship Id="rId55" Type="http://schemas.openxmlformats.org/officeDocument/2006/relationships/hyperlink" Target="https://www.scielo.cl/scielo.php?script=sci_arttext&amp;pid=S0718-80722023000100263" TargetMode="External"/><Relationship Id="rId76" Type="http://schemas.openxmlformats.org/officeDocument/2006/relationships/hyperlink" Target="javascript:void(0);" TargetMode="External"/><Relationship Id="rId97" Type="http://schemas.openxmlformats.org/officeDocument/2006/relationships/hyperlink" Target="https://colegioabogados.cl/wp-content/uploads/2021/07/07.-Fallo-29-16-104-16-acumulada.pdf" TargetMode="External"/><Relationship Id="rId104" Type="http://schemas.openxmlformats.org/officeDocument/2006/relationships/hyperlink" Target="https://www.scielo.cl/scielo.php?script=sci_arttext&amp;pid=S0718-80722023000100263" TargetMode="External"/><Relationship Id="rId7" Type="http://schemas.openxmlformats.org/officeDocument/2006/relationships/hyperlink" Target="https://www.scielo.cl/scielo.php?script=sci_arttext&amp;pid=S0718-80722023000100263"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styles" Target="styles.xml"/><Relationship Id="rId29" Type="http://schemas.openxmlformats.org/officeDocument/2006/relationships/hyperlink" Target="https://www.scielo.cl/scielo.php?script=sci_arttext&amp;pid=S0718-80722023000100263" TargetMode="External"/><Relationship Id="rId24" Type="http://schemas.openxmlformats.org/officeDocument/2006/relationships/hyperlink" Target="https://www.scielo.cl/scielo.php?script=sci_arttext&amp;pid=S0718-80722023000100263" TargetMode="External"/><Relationship Id="rId40" Type="http://schemas.openxmlformats.org/officeDocument/2006/relationships/hyperlink" Target="https://www.scielo.cl/scielo.php?script=sci_arttext&amp;pid=S0718-80722023000100263" TargetMode="External"/><Relationship Id="rId45" Type="http://schemas.openxmlformats.org/officeDocument/2006/relationships/hyperlink" Target="https://www.scielo.cl/scielo.php?script=sci_arttext&amp;pid=S0718-80722023000100263" TargetMode="External"/><Relationship Id="rId66" Type="http://schemas.openxmlformats.org/officeDocument/2006/relationships/hyperlink" Target="javascript:void(0);" TargetMode="External"/><Relationship Id="rId87" Type="http://schemas.openxmlformats.org/officeDocument/2006/relationships/hyperlink" Target="https://nysba.org/ethics-opinion-907/" TargetMode="External"/><Relationship Id="rId110" Type="http://schemas.openxmlformats.org/officeDocument/2006/relationships/hyperlink" Target="https://www.scielo.cl/scielo.php?script=sci_arttext&amp;pid=S0718-80722023000100263" TargetMode="External"/><Relationship Id="rId61" Type="http://schemas.openxmlformats.org/officeDocument/2006/relationships/hyperlink" Target="https://www.scielo.cl/scielo.php?script=sci_arttext&amp;pid=S0718-80722023000100263" TargetMode="External"/><Relationship Id="rId82" Type="http://schemas.openxmlformats.org/officeDocument/2006/relationships/hyperlink" Target="javascript:void(0);" TargetMode="External"/><Relationship Id="rId19" Type="http://schemas.openxmlformats.org/officeDocument/2006/relationships/hyperlink" Target="https://www.scielo.cl/scielo.php?script=sci_arttext&amp;pid=S0718-80722023000100263" TargetMode="External"/><Relationship Id="rId14" Type="http://schemas.openxmlformats.org/officeDocument/2006/relationships/hyperlink" Target="https://www.scielo.cl/scielo.php?script=sci_arttext&amp;pid=S0718-80722023000100263" TargetMode="External"/><Relationship Id="rId30" Type="http://schemas.openxmlformats.org/officeDocument/2006/relationships/hyperlink" Target="https://www.scielo.cl/scielo.php?script=sci_arttext&amp;pid=S0718-80722023000100263" TargetMode="External"/><Relationship Id="rId35" Type="http://schemas.openxmlformats.org/officeDocument/2006/relationships/hyperlink" Target="https://www.scielo.cl/scielo.php?script=sci_arttext&amp;pid=S0718-80722023000100263" TargetMode="External"/><Relationship Id="rId56" Type="http://schemas.openxmlformats.org/officeDocument/2006/relationships/hyperlink" Target="https://www.scielo.cl/scielo.php?script=sci_arttext&amp;pid=S0718-80722023000100263" TargetMode="External"/><Relationship Id="rId77" Type="http://schemas.openxmlformats.org/officeDocument/2006/relationships/hyperlink" Target="javascript:void(0);" TargetMode="External"/><Relationship Id="rId100" Type="http://schemas.openxmlformats.org/officeDocument/2006/relationships/hyperlink" Target="https://www.scielo.cl/scielo.php?script=sci_arttext&amp;pid=S0718-80722023000100263" TargetMode="External"/><Relationship Id="rId105" Type="http://schemas.openxmlformats.org/officeDocument/2006/relationships/hyperlink" Target="https://www.scielo.cl/scielo.php?script=sci_arttext&amp;pid=S0718-80722023000100263" TargetMode="External"/><Relationship Id="rId8" Type="http://schemas.openxmlformats.org/officeDocument/2006/relationships/hyperlink" Target="https://www.scielo.cl/scielo.php?script=sci_arttext&amp;pid=S0718-80722023000100263" TargetMode="External"/><Relationship Id="rId51" Type="http://schemas.openxmlformats.org/officeDocument/2006/relationships/hyperlink" Target="https://www.scielo.cl/scielo.php?script=sci_arttext&amp;pid=S0718-80722023000100263" TargetMode="External"/><Relationship Id="rId72" Type="http://schemas.openxmlformats.org/officeDocument/2006/relationships/hyperlink" Target="javascript:void(0);" TargetMode="External"/><Relationship Id="rId93" Type="http://schemas.openxmlformats.org/officeDocument/2006/relationships/hyperlink" Target="https://jurisprudencia.cplt.cl/cplt/decision.php?id=CPLT00007368" TargetMode="External"/><Relationship Id="rId98" Type="http://schemas.openxmlformats.org/officeDocument/2006/relationships/hyperlink" Target="javascript:void(0);" TargetMode="External"/><Relationship Id="rId3" Type="http://schemas.openxmlformats.org/officeDocument/2006/relationships/settings" Target="settings.xml"/><Relationship Id="rId25" Type="http://schemas.openxmlformats.org/officeDocument/2006/relationships/hyperlink" Target="https://www.scielo.cl/scielo.php?script=sci_arttext&amp;pid=S0718-80722023000100263" TargetMode="External"/><Relationship Id="rId46" Type="http://schemas.openxmlformats.org/officeDocument/2006/relationships/hyperlink" Target="https://www.scielo.cl/scielo.php?script=sci_arttext&amp;pid=S0718-80722023000100263" TargetMode="External"/><Relationship Id="rId67" Type="http://schemas.openxmlformats.org/officeDocument/2006/relationships/hyperlink" Target="javascript:void(0);" TargetMode="External"/><Relationship Id="rId20" Type="http://schemas.openxmlformats.org/officeDocument/2006/relationships/hyperlink" Target="https://www.scielo.cl/scielo.php?script=sci_arttext&amp;pid=S0718-80722023000100263" TargetMode="External"/><Relationship Id="rId41" Type="http://schemas.openxmlformats.org/officeDocument/2006/relationships/hyperlink" Target="https://www.scielo.cl/scielo.php?script=sci_arttext&amp;pid=S0718-80722023000100263"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https://www.scielo.cl/scielo.php?script=sci_arttext&amp;pid=S0718-80722023000100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17306</Words>
  <Characters>95183</Characters>
  <Application>Microsoft Office Word</Application>
  <DocSecurity>0</DocSecurity>
  <Lines>793</Lines>
  <Paragraphs>224</Paragraphs>
  <ScaleCrop>false</ScaleCrop>
  <Company/>
  <LinksUpToDate>false</LinksUpToDate>
  <CharactersWithSpaces>112265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1</cp:revision>
  <dcterms:created xsi:type="dcterms:W3CDTF">2024-04-23T02:28:00Z</dcterms:created>
  <dcterms:modified xsi:type="dcterms:W3CDTF">2024-04-23T02:29:00Z</dcterms:modified>
</cp:coreProperties>
</file>