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C089C" w14:textId="0CC438F1" w:rsidR="001E7C9D" w:rsidRPr="00FC4F60" w:rsidRDefault="001E7C9D" w:rsidP="001E7C9D">
      <w:pPr>
        <w:pStyle w:val="NormalWeb"/>
        <w:rPr>
          <w:rFonts w:ascii="AGaramondPro" w:hAnsi="AGaramondPro"/>
          <w:color w:val="FF0000"/>
          <w:sz w:val="26"/>
          <w:szCs w:val="26"/>
        </w:rPr>
      </w:pPr>
      <w:r w:rsidRPr="001E7C9D">
        <w:rPr>
          <w:rFonts w:ascii="AGaramondPro" w:hAnsi="AGaramondPro"/>
          <w:color w:val="FF0000"/>
          <w:sz w:val="26"/>
          <w:szCs w:val="26"/>
        </w:rPr>
        <w:t>Ejericios:</w:t>
      </w:r>
    </w:p>
    <w:p w14:paraId="7EA258B8" w14:textId="310FD21A" w:rsidR="001E7C9D" w:rsidRDefault="001E7C9D" w:rsidP="001E7C9D">
      <w:pPr>
        <w:pStyle w:val="NormalWeb"/>
      </w:pPr>
      <w:r>
        <w:rPr>
          <w:rFonts w:ascii="AGaramondPro" w:hAnsi="AGaramondPro"/>
          <w:sz w:val="26"/>
          <w:szCs w:val="26"/>
        </w:rPr>
        <w:t xml:space="preserve">Analice los siguientes casos, lo puede hacer con un compañero del curso. </w:t>
      </w:r>
    </w:p>
    <w:p w14:paraId="3532934A" w14:textId="77777777" w:rsidR="001E7C9D" w:rsidRDefault="001E7C9D" w:rsidP="001E7C9D">
      <w:pPr>
        <w:pStyle w:val="NormalWeb"/>
        <w:numPr>
          <w:ilvl w:val="0"/>
          <w:numId w:val="1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Un psicólogo clínico evalúa a un paciente con sospecha de depresión y le aplica una prueba de optimismo. El paciente obtiene una puntuación natural </w:t>
      </w:r>
      <w:r>
        <w:rPr>
          <w:rFonts w:ascii="AGaramondPro" w:hAnsi="AGaramondPro"/>
          <w:i/>
          <w:iCs/>
          <w:sz w:val="26"/>
          <w:szCs w:val="26"/>
        </w:rPr>
        <w:t>PN</w:t>
      </w:r>
      <w:r>
        <w:rPr>
          <w:rFonts w:ascii="AGaramondPro" w:hAnsi="AGaramondPro"/>
          <w:sz w:val="26"/>
          <w:szCs w:val="26"/>
        </w:rPr>
        <w:t xml:space="preserve">=9. Si la prueba tiene una </w:t>
      </w:r>
      <w:r>
        <w:rPr>
          <w:rFonts w:ascii="AGaramondPro" w:hAnsi="AGaramondPro"/>
          <w:i/>
          <w:iCs/>
          <w:sz w:val="26"/>
          <w:szCs w:val="26"/>
        </w:rPr>
        <w:t>Media</w:t>
      </w:r>
      <w:r>
        <w:rPr>
          <w:rFonts w:ascii="AGaramondPro" w:hAnsi="AGaramondPro"/>
          <w:sz w:val="26"/>
          <w:szCs w:val="26"/>
        </w:rPr>
        <w:t>=15 (</w:t>
      </w:r>
      <w:r>
        <w:rPr>
          <w:rFonts w:ascii="AGaramondPro" w:hAnsi="AGaramondPro"/>
          <w:i/>
          <w:iCs/>
          <w:sz w:val="26"/>
          <w:szCs w:val="26"/>
        </w:rPr>
        <w:t>DE</w:t>
      </w:r>
      <w:r>
        <w:rPr>
          <w:rFonts w:ascii="AGaramondPro" w:hAnsi="AGaramondPro"/>
          <w:sz w:val="26"/>
          <w:szCs w:val="26"/>
        </w:rPr>
        <w:t xml:space="preserve">=4), ¿qué se puede inferir sobre el optimismo del paciente?, ¿se puede continuar con la sospecha de depresión? Argumente las respuestas. </w:t>
      </w:r>
    </w:p>
    <w:p w14:paraId="4FBD67FE" w14:textId="77777777" w:rsidR="001E7C9D" w:rsidRDefault="001E7C9D" w:rsidP="001E7C9D">
      <w:pPr>
        <w:pStyle w:val="NormalWeb"/>
        <w:ind w:left="720"/>
        <w:rPr>
          <w:rFonts w:ascii="AGaramondPro" w:hAnsi="AGaramondPro"/>
          <w:sz w:val="26"/>
          <w:szCs w:val="26"/>
        </w:rPr>
      </w:pPr>
    </w:p>
    <w:p w14:paraId="4F9F2390" w14:textId="77777777" w:rsidR="001E7C9D" w:rsidRDefault="001E7C9D" w:rsidP="001E7C9D">
      <w:pPr>
        <w:pStyle w:val="NormalWeb"/>
        <w:numPr>
          <w:ilvl w:val="0"/>
          <w:numId w:val="1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Un niño de seis años es remitido al servicio de psicología porque presenta un bajo rendimiento académico, y el psicólogo decide aplicarle una prueba de inteligencia. Si el niño consigue un </w:t>
      </w:r>
      <w:r>
        <w:rPr>
          <w:rFonts w:ascii="AGaramondPro" w:hAnsi="AGaramondPro"/>
          <w:i/>
          <w:iCs/>
          <w:sz w:val="26"/>
          <w:szCs w:val="26"/>
        </w:rPr>
        <w:t>PN</w:t>
      </w:r>
      <w:r>
        <w:rPr>
          <w:rFonts w:ascii="AGaramondPro" w:hAnsi="AGaramondPro"/>
          <w:sz w:val="26"/>
          <w:szCs w:val="26"/>
        </w:rPr>
        <w:t xml:space="preserve">=30 y la prueba tiene una </w:t>
      </w:r>
      <w:r>
        <w:rPr>
          <w:rFonts w:ascii="AGaramondPro" w:hAnsi="AGaramondPro"/>
          <w:i/>
          <w:iCs/>
          <w:sz w:val="26"/>
          <w:szCs w:val="26"/>
        </w:rPr>
        <w:t>Media</w:t>
      </w:r>
      <w:r>
        <w:rPr>
          <w:rFonts w:ascii="AGaramondPro" w:hAnsi="AGaramondPro"/>
          <w:sz w:val="26"/>
          <w:szCs w:val="26"/>
        </w:rPr>
        <w:t>=70 (</w:t>
      </w:r>
      <w:r>
        <w:rPr>
          <w:rFonts w:ascii="AGaramondPro" w:hAnsi="AGaramondPro"/>
          <w:i/>
          <w:iCs/>
          <w:sz w:val="26"/>
          <w:szCs w:val="26"/>
        </w:rPr>
        <w:t>DE</w:t>
      </w:r>
      <w:r>
        <w:rPr>
          <w:rFonts w:ascii="AGaramondPro" w:hAnsi="AGaramondPro"/>
          <w:sz w:val="26"/>
          <w:szCs w:val="26"/>
        </w:rPr>
        <w:t xml:space="preserve">=20). ¿Se encuentra el paciente dentro de los parámetros normales en la capacidad intelectual, ¿el resultado de la prueba se relacionaría con las dificultades académicas del paciente? Argumente las respuestas. </w:t>
      </w:r>
    </w:p>
    <w:p w14:paraId="27243616" w14:textId="77777777" w:rsidR="001E7C9D" w:rsidRDefault="001E7C9D" w:rsidP="001E7C9D">
      <w:pPr>
        <w:pStyle w:val="Prrafodelista"/>
        <w:rPr>
          <w:rFonts w:ascii="AGaramondPro" w:hAnsi="AGaramondPro"/>
          <w:sz w:val="26"/>
          <w:szCs w:val="26"/>
        </w:rPr>
      </w:pPr>
    </w:p>
    <w:p w14:paraId="260D174F" w14:textId="38A4BE71" w:rsidR="00666FBB" w:rsidRDefault="001E7C9D" w:rsidP="00FC4F60">
      <w:pPr>
        <w:pStyle w:val="NormalWeb"/>
        <w:numPr>
          <w:ilvl w:val="0"/>
          <w:numId w:val="1"/>
        </w:numPr>
        <w:rPr>
          <w:rFonts w:ascii="AGaramondPro" w:hAnsi="AGaramondPro"/>
          <w:sz w:val="26"/>
          <w:szCs w:val="26"/>
        </w:rPr>
      </w:pPr>
      <w:r w:rsidRPr="001E7C9D">
        <w:rPr>
          <w:rFonts w:ascii="AGaramondPro" w:hAnsi="AGaramondPro"/>
          <w:sz w:val="26"/>
          <w:szCs w:val="26"/>
        </w:rPr>
        <w:t>Un estudiante de secundaria obtiene una puntuación de 14 en una prueba de aritmética (</w:t>
      </w:r>
      <w:r w:rsidRPr="001E7C9D">
        <w:rPr>
          <w:rFonts w:ascii="AGaramondPro" w:hAnsi="AGaramondPro"/>
          <w:i/>
          <w:iCs/>
          <w:sz w:val="26"/>
          <w:szCs w:val="26"/>
        </w:rPr>
        <w:t xml:space="preserve">Media </w:t>
      </w:r>
      <w:r w:rsidRPr="001E7C9D">
        <w:rPr>
          <w:rFonts w:ascii="AGaramondPro" w:hAnsi="AGaramondPro"/>
          <w:sz w:val="26"/>
          <w:szCs w:val="26"/>
        </w:rPr>
        <w:t xml:space="preserve">=10, </w:t>
      </w:r>
      <w:r w:rsidRPr="001E7C9D">
        <w:rPr>
          <w:rFonts w:ascii="AGaramondPro" w:hAnsi="AGaramondPro"/>
          <w:i/>
          <w:iCs/>
          <w:sz w:val="26"/>
          <w:szCs w:val="26"/>
        </w:rPr>
        <w:t>DE</w:t>
      </w:r>
      <w:r w:rsidRPr="001E7C9D">
        <w:rPr>
          <w:rFonts w:ascii="AGaramondPro" w:hAnsi="AGaramondPro"/>
          <w:sz w:val="26"/>
          <w:szCs w:val="26"/>
        </w:rPr>
        <w:t>= 4), una puntuación de 220 en una prueba de comprensión lectura (</w:t>
      </w:r>
      <w:r w:rsidRPr="001E7C9D">
        <w:rPr>
          <w:rFonts w:ascii="AGaramondPro" w:hAnsi="AGaramondPro"/>
          <w:i/>
          <w:iCs/>
          <w:sz w:val="26"/>
          <w:szCs w:val="26"/>
        </w:rPr>
        <w:t>Media</w:t>
      </w:r>
      <w:r w:rsidRPr="001E7C9D">
        <w:rPr>
          <w:rFonts w:ascii="AGaramondPro" w:hAnsi="AGaramondPro"/>
          <w:sz w:val="26"/>
          <w:szCs w:val="26"/>
        </w:rPr>
        <w:t xml:space="preserve">=140, </w:t>
      </w:r>
      <w:r w:rsidRPr="001E7C9D">
        <w:rPr>
          <w:rFonts w:ascii="AGaramondPro" w:hAnsi="AGaramondPro"/>
          <w:i/>
          <w:iCs/>
          <w:sz w:val="26"/>
          <w:szCs w:val="26"/>
        </w:rPr>
        <w:t>DE</w:t>
      </w:r>
      <w:r w:rsidRPr="001E7C9D">
        <w:rPr>
          <w:rFonts w:ascii="AGaramondPro" w:hAnsi="AGaramondPro"/>
          <w:sz w:val="26"/>
          <w:szCs w:val="26"/>
        </w:rPr>
        <w:t>=80), y, una puntuación de 60 en una prueba en una prueba de historia local (</w:t>
      </w:r>
      <w:r w:rsidRPr="001E7C9D">
        <w:rPr>
          <w:rFonts w:ascii="AGaramondPro" w:hAnsi="AGaramondPro"/>
          <w:i/>
          <w:iCs/>
          <w:sz w:val="26"/>
          <w:szCs w:val="26"/>
        </w:rPr>
        <w:t>Media</w:t>
      </w:r>
      <w:r w:rsidRPr="001E7C9D">
        <w:rPr>
          <w:rFonts w:ascii="AGaramondPro" w:hAnsi="AGaramondPro"/>
          <w:sz w:val="26"/>
          <w:szCs w:val="26"/>
        </w:rPr>
        <w:t xml:space="preserve">=40, </w:t>
      </w:r>
      <w:r w:rsidRPr="001E7C9D">
        <w:rPr>
          <w:rFonts w:ascii="AGaramondPro" w:hAnsi="AGaramondPro"/>
          <w:i/>
          <w:iCs/>
          <w:sz w:val="26"/>
          <w:szCs w:val="26"/>
        </w:rPr>
        <w:t>DE</w:t>
      </w:r>
      <w:r w:rsidRPr="001E7C9D">
        <w:rPr>
          <w:rFonts w:ascii="AGaramondPro" w:hAnsi="AGaramondPro"/>
          <w:sz w:val="26"/>
          <w:szCs w:val="26"/>
        </w:rPr>
        <w:t xml:space="preserve">=10). A partir de la información, ¿se puede concluir que el estudiante tiene mayor habilidad en algunas de las áreas evaluadas? Argumente la respuesta. </w:t>
      </w:r>
    </w:p>
    <w:p w14:paraId="73CEC3B8" w14:textId="77777777" w:rsidR="00FC4F60" w:rsidRPr="00FC4F60" w:rsidRDefault="00FC4F60" w:rsidP="00FC4F60">
      <w:pPr>
        <w:pStyle w:val="NormalWeb"/>
        <w:rPr>
          <w:rFonts w:ascii="AGaramondPro" w:hAnsi="AGaramondPro"/>
          <w:sz w:val="26"/>
          <w:szCs w:val="26"/>
        </w:rPr>
      </w:pPr>
    </w:p>
    <w:p w14:paraId="26CE5F4C" w14:textId="3E4847A8" w:rsidR="00666FBB" w:rsidRDefault="00666FBB" w:rsidP="00666FBB">
      <w:pPr>
        <w:pStyle w:val="NormalWeb"/>
        <w:numPr>
          <w:ilvl w:val="1"/>
          <w:numId w:val="1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Un psicopedagogogo le aplica a un estudiante de secundaria una prueba de orientación vocacional, la cual arroja los siguientes resultados en </w:t>
      </w:r>
      <w:r>
        <w:rPr>
          <w:rFonts w:ascii="AGaramondPro" w:hAnsi="AGaramondPro"/>
          <w:i/>
          <w:iCs/>
          <w:sz w:val="26"/>
          <w:szCs w:val="26"/>
        </w:rPr>
        <w:t xml:space="preserve">puntuaciones T: </w:t>
      </w:r>
    </w:p>
    <w:p w14:paraId="562AB2F6" w14:textId="77777777" w:rsidR="00666FBB" w:rsidRDefault="00666FBB" w:rsidP="00666FBB">
      <w:pPr>
        <w:pStyle w:val="NormalWeb"/>
        <w:numPr>
          <w:ilvl w:val="1"/>
          <w:numId w:val="2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Área de matemáticas=32 </w:t>
      </w:r>
    </w:p>
    <w:p w14:paraId="3F2064BA" w14:textId="77777777" w:rsidR="00666FBB" w:rsidRDefault="00666FBB" w:rsidP="00666FBB">
      <w:pPr>
        <w:pStyle w:val="NormalWeb"/>
        <w:numPr>
          <w:ilvl w:val="1"/>
          <w:numId w:val="2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Área de ciencias naturales= 38 </w:t>
      </w:r>
    </w:p>
    <w:p w14:paraId="436F92C6" w14:textId="77777777" w:rsidR="00666FBB" w:rsidRDefault="00666FBB" w:rsidP="00666FBB">
      <w:pPr>
        <w:pStyle w:val="NormalWeb"/>
        <w:numPr>
          <w:ilvl w:val="1"/>
          <w:numId w:val="2"/>
        </w:numPr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Área de ciencias sociales y humanidades=63 </w:t>
      </w:r>
    </w:p>
    <w:p w14:paraId="5370CEA6" w14:textId="77777777" w:rsidR="00666FBB" w:rsidRDefault="00666FBB" w:rsidP="00666FBB">
      <w:pPr>
        <w:pStyle w:val="NormalWeb"/>
        <w:numPr>
          <w:ilvl w:val="1"/>
          <w:numId w:val="2"/>
        </w:numPr>
        <w:rPr>
          <w:rFonts w:ascii="AGaramondPro" w:hAnsi="AGaramondPro"/>
          <w:sz w:val="26"/>
          <w:szCs w:val="26"/>
        </w:rPr>
      </w:pPr>
      <w:r w:rsidRPr="00666FBB">
        <w:rPr>
          <w:rFonts w:ascii="AGaramondPro" w:hAnsi="AGaramondPro"/>
          <w:sz w:val="26"/>
          <w:szCs w:val="26"/>
        </w:rPr>
        <w:t xml:space="preserve">Área de ingeniería y tecnología=55 </w:t>
      </w:r>
    </w:p>
    <w:p w14:paraId="5264946F" w14:textId="16F1C074" w:rsidR="00666FBB" w:rsidRPr="00666FBB" w:rsidRDefault="00666FBB" w:rsidP="00666FBB">
      <w:pPr>
        <w:pStyle w:val="NormalWeb"/>
        <w:numPr>
          <w:ilvl w:val="1"/>
          <w:numId w:val="2"/>
        </w:numPr>
        <w:rPr>
          <w:rFonts w:ascii="AGaramondPro" w:hAnsi="AGaramondPro"/>
          <w:sz w:val="26"/>
          <w:szCs w:val="26"/>
        </w:rPr>
      </w:pPr>
      <w:r w:rsidRPr="00666FBB">
        <w:rPr>
          <w:rFonts w:ascii="AGaramondPro" w:hAnsi="AGaramondPro"/>
          <w:sz w:val="26"/>
          <w:szCs w:val="26"/>
        </w:rPr>
        <w:t xml:space="preserve">Área de bellas artes= 43 </w:t>
      </w:r>
    </w:p>
    <w:p w14:paraId="779F5597" w14:textId="77777777" w:rsidR="00666FBB" w:rsidRDefault="00666FBB" w:rsidP="00666FBB">
      <w:pPr>
        <w:pStyle w:val="NormalWeb"/>
        <w:rPr>
          <w:rFonts w:ascii="AGaramondPro" w:hAnsi="AGaramondPro"/>
          <w:sz w:val="26"/>
          <w:szCs w:val="26"/>
        </w:rPr>
      </w:pPr>
      <w:r>
        <w:rPr>
          <w:rFonts w:ascii="AGaramondPro" w:hAnsi="AGaramondPro"/>
          <w:sz w:val="26"/>
          <w:szCs w:val="26"/>
        </w:rPr>
        <w:t xml:space="preserve">Según los resultados anteriores, ¿qué áreas se podrían interpretar de baja actitud, de moderada actitud y de alta actitud? </w:t>
      </w:r>
    </w:p>
    <w:p w14:paraId="588EAF5F" w14:textId="77777777" w:rsidR="00666FBB" w:rsidRDefault="00666FBB" w:rsidP="00666FBB">
      <w:pPr>
        <w:pStyle w:val="NormalWeb"/>
        <w:ind w:left="1440"/>
        <w:rPr>
          <w:rFonts w:ascii="AGaramondPro" w:hAnsi="AGaramondPro"/>
          <w:sz w:val="26"/>
          <w:szCs w:val="26"/>
        </w:rPr>
      </w:pPr>
    </w:p>
    <w:p w14:paraId="4D5982E3" w14:textId="77777777" w:rsidR="00666FBB" w:rsidRPr="00666FBB" w:rsidRDefault="00666FBB">
      <w:pPr>
        <w:rPr>
          <w:color w:val="FF0000"/>
        </w:rPr>
      </w:pPr>
    </w:p>
    <w:sectPr w:rsidR="00666FBB" w:rsidRPr="00666FBB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DF6"/>
    <w:multiLevelType w:val="multilevel"/>
    <w:tmpl w:val="542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83B32"/>
    <w:multiLevelType w:val="multilevel"/>
    <w:tmpl w:val="2F6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B022F"/>
    <w:multiLevelType w:val="multilevel"/>
    <w:tmpl w:val="0866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479486">
    <w:abstractNumId w:val="1"/>
  </w:num>
  <w:num w:numId="2" w16cid:durableId="1944989932">
    <w:abstractNumId w:val="2"/>
  </w:num>
  <w:num w:numId="3" w16cid:durableId="197860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9D"/>
    <w:rsid w:val="00063E61"/>
    <w:rsid w:val="000D4897"/>
    <w:rsid w:val="001B1182"/>
    <w:rsid w:val="001C43B1"/>
    <w:rsid w:val="001E7C9D"/>
    <w:rsid w:val="001F00A6"/>
    <w:rsid w:val="00427A70"/>
    <w:rsid w:val="00521EEB"/>
    <w:rsid w:val="00666FBB"/>
    <w:rsid w:val="00846A06"/>
    <w:rsid w:val="008A2AF9"/>
    <w:rsid w:val="00B849E1"/>
    <w:rsid w:val="00C24F2C"/>
    <w:rsid w:val="00C879C8"/>
    <w:rsid w:val="00F22D4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69D86"/>
  <w15:chartTrackingRefBased/>
  <w15:docId w15:val="{5388EC3B-7744-BB41-83D3-798A3D00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C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1E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4</cp:revision>
  <dcterms:created xsi:type="dcterms:W3CDTF">2023-10-26T21:04:00Z</dcterms:created>
  <dcterms:modified xsi:type="dcterms:W3CDTF">2024-10-14T00:15:00Z</dcterms:modified>
</cp:coreProperties>
</file>