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horzAnchor="margin" w:tblpXSpec="center" w:tblpY="450"/>
        <w:tblW w:w="10445" w:type="dxa"/>
        <w:tblLook w:val="04A0" w:firstRow="1" w:lastRow="0" w:firstColumn="1" w:lastColumn="0" w:noHBand="0" w:noVBand="1"/>
      </w:tblPr>
      <w:tblGrid>
        <w:gridCol w:w="2689"/>
        <w:gridCol w:w="567"/>
        <w:gridCol w:w="1759"/>
        <w:gridCol w:w="225"/>
        <w:gridCol w:w="1276"/>
        <w:gridCol w:w="1986"/>
        <w:gridCol w:w="140"/>
        <w:gridCol w:w="1803"/>
      </w:tblGrid>
      <w:tr w:rsidR="00822CBE" w:rsidRPr="00977D3E" w14:paraId="3A73F8D1" w14:textId="6C3EE794" w:rsidTr="00E4728F">
        <w:tc>
          <w:tcPr>
            <w:tcW w:w="10445" w:type="dxa"/>
            <w:gridSpan w:val="8"/>
            <w:shd w:val="clear" w:color="auto" w:fill="F2F2F2" w:themeFill="background1" w:themeFillShade="F2"/>
          </w:tcPr>
          <w:p w14:paraId="4CDE5C52" w14:textId="77777777" w:rsidR="00822CBE" w:rsidRPr="00042D4E" w:rsidRDefault="002326CB" w:rsidP="00596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D4E">
              <w:rPr>
                <w:rFonts w:ascii="Times New Roman" w:hAnsi="Times New Roman" w:cs="Times New Roman"/>
                <w:b/>
                <w:sz w:val="20"/>
                <w:szCs w:val="20"/>
              </w:rPr>
              <w:t>GUÍA DE PRÁ</w:t>
            </w:r>
            <w:r w:rsidR="00C45424" w:rsidRPr="00042D4E">
              <w:rPr>
                <w:rFonts w:ascii="Times New Roman" w:hAnsi="Times New Roman" w:cs="Times New Roman"/>
                <w:b/>
                <w:sz w:val="20"/>
                <w:szCs w:val="20"/>
              </w:rPr>
              <w:t>CTICA</w:t>
            </w:r>
            <w:r w:rsidRPr="00042D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LABORATORIO</w:t>
            </w:r>
          </w:p>
        </w:tc>
      </w:tr>
      <w:tr w:rsidR="00F63184" w:rsidRPr="00977D3E" w14:paraId="30945FBD" w14:textId="77777777" w:rsidTr="00E4728F">
        <w:tc>
          <w:tcPr>
            <w:tcW w:w="2689" w:type="dxa"/>
            <w:shd w:val="clear" w:color="auto" w:fill="F2F2F2" w:themeFill="background1" w:themeFillShade="F2"/>
          </w:tcPr>
          <w:p w14:paraId="0E1D2B1E" w14:textId="77777777" w:rsidR="00F63184" w:rsidRPr="00042D4E" w:rsidRDefault="00F63184" w:rsidP="00596D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D4E">
              <w:rPr>
                <w:rFonts w:ascii="Times New Roman" w:hAnsi="Times New Roman" w:cs="Times New Roman"/>
                <w:b/>
                <w:sz w:val="20"/>
                <w:szCs w:val="20"/>
              </w:rPr>
              <w:t>PERÍODO ACADÉMICO</w:t>
            </w:r>
          </w:p>
        </w:tc>
        <w:tc>
          <w:tcPr>
            <w:tcW w:w="7756" w:type="dxa"/>
            <w:gridSpan w:val="7"/>
            <w:shd w:val="clear" w:color="auto" w:fill="F2F2F2" w:themeFill="background1" w:themeFillShade="F2"/>
          </w:tcPr>
          <w:p w14:paraId="100BD26D" w14:textId="4064D8B9" w:rsidR="00F63184" w:rsidRPr="00042D4E" w:rsidRDefault="006571CA" w:rsidP="00596D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37E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980FC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403F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405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403F6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</w:tr>
      <w:tr w:rsidR="00F63184" w:rsidRPr="00977D3E" w14:paraId="3D9702F8" w14:textId="77777777" w:rsidTr="00E4728F">
        <w:tc>
          <w:tcPr>
            <w:tcW w:w="2689" w:type="dxa"/>
          </w:tcPr>
          <w:p w14:paraId="47299BB8" w14:textId="77777777" w:rsidR="00F63184" w:rsidRPr="00042D4E" w:rsidRDefault="00F63184" w:rsidP="00596D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D4E">
              <w:rPr>
                <w:rFonts w:ascii="Times New Roman" w:hAnsi="Times New Roman" w:cs="Times New Roman"/>
                <w:b/>
                <w:sz w:val="20"/>
                <w:szCs w:val="20"/>
              </w:rPr>
              <w:t>ASIGNATURA</w:t>
            </w:r>
          </w:p>
        </w:tc>
        <w:tc>
          <w:tcPr>
            <w:tcW w:w="3827" w:type="dxa"/>
            <w:gridSpan w:val="4"/>
          </w:tcPr>
          <w:p w14:paraId="2247B551" w14:textId="45175CC0" w:rsidR="00F63184" w:rsidRPr="005403F6" w:rsidRDefault="004257B2" w:rsidP="006571CA">
            <w:pPr>
              <w:spacing w:after="0" w:line="240" w:lineRule="auto"/>
              <w:ind w:left="-110" w:right="-10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3F6">
              <w:rPr>
                <w:rFonts w:ascii="Times New Roman" w:hAnsi="Times New Roman" w:cs="Times New Roman"/>
                <w:bCs/>
                <w:sz w:val="20"/>
                <w:szCs w:val="20"/>
              </w:rPr>
              <w:t>Biología Molecular</w:t>
            </w:r>
          </w:p>
        </w:tc>
        <w:tc>
          <w:tcPr>
            <w:tcW w:w="2126" w:type="dxa"/>
            <w:gridSpan w:val="2"/>
          </w:tcPr>
          <w:p w14:paraId="0AE6F393" w14:textId="137389B2" w:rsidR="00EF225A" w:rsidRPr="00042D4E" w:rsidRDefault="00F63184" w:rsidP="00596D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D4E">
              <w:rPr>
                <w:rFonts w:ascii="Times New Roman" w:hAnsi="Times New Roman" w:cs="Times New Roman"/>
                <w:b/>
                <w:sz w:val="20"/>
                <w:szCs w:val="20"/>
              </w:rPr>
              <w:t>SEMESTRE:</w:t>
            </w:r>
            <w:r w:rsidR="00992BB2" w:rsidRPr="00042D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64842" w:rsidRPr="000A2E79">
              <w:rPr>
                <w:rFonts w:ascii="Times New Roman" w:hAnsi="Times New Roman" w:cs="Times New Roman"/>
                <w:bCs/>
                <w:sz w:val="20"/>
                <w:szCs w:val="20"/>
              </w:rPr>
              <w:t>6to</w:t>
            </w:r>
          </w:p>
        </w:tc>
        <w:tc>
          <w:tcPr>
            <w:tcW w:w="1803" w:type="dxa"/>
          </w:tcPr>
          <w:p w14:paraId="7B606F33" w14:textId="023E51B4" w:rsidR="00B410C4" w:rsidRPr="00042D4E" w:rsidRDefault="00F63184" w:rsidP="00596D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D4E">
              <w:rPr>
                <w:rFonts w:ascii="Times New Roman" w:hAnsi="Times New Roman" w:cs="Times New Roman"/>
                <w:b/>
                <w:sz w:val="20"/>
                <w:szCs w:val="20"/>
              </w:rPr>
              <w:t>PARALELO:</w:t>
            </w:r>
            <w:r w:rsidR="00992BB2" w:rsidRPr="00042D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“</w:t>
            </w:r>
            <w:r w:rsidR="00864842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992BB2" w:rsidRPr="00042D4E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</w:tc>
      </w:tr>
      <w:tr w:rsidR="00F63184" w:rsidRPr="00977D3E" w14:paraId="4BC8928F" w14:textId="77777777" w:rsidTr="00E4728F">
        <w:tc>
          <w:tcPr>
            <w:tcW w:w="2689" w:type="dxa"/>
            <w:shd w:val="clear" w:color="auto" w:fill="F2F2F2" w:themeFill="background1" w:themeFillShade="F2"/>
          </w:tcPr>
          <w:p w14:paraId="6559BF48" w14:textId="77777777" w:rsidR="00F63184" w:rsidRPr="00042D4E" w:rsidRDefault="00F63184" w:rsidP="00596D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D4E">
              <w:rPr>
                <w:rFonts w:ascii="Times New Roman" w:hAnsi="Times New Roman" w:cs="Times New Roman"/>
                <w:b/>
                <w:sz w:val="20"/>
                <w:szCs w:val="20"/>
              </w:rPr>
              <w:t>NOMBRE DEL DOCENTE</w:t>
            </w:r>
          </w:p>
        </w:tc>
        <w:tc>
          <w:tcPr>
            <w:tcW w:w="7756" w:type="dxa"/>
            <w:gridSpan w:val="7"/>
          </w:tcPr>
          <w:p w14:paraId="3F0C092B" w14:textId="1A59A1FE" w:rsidR="00F63184" w:rsidRPr="005403F6" w:rsidRDefault="00EF225A" w:rsidP="00596DC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3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Mgs. </w:t>
            </w:r>
            <w:r w:rsidR="00D65A89" w:rsidRPr="005403F6">
              <w:rPr>
                <w:rFonts w:ascii="Times New Roman" w:hAnsi="Times New Roman" w:cs="Times New Roman"/>
                <w:bCs/>
                <w:sz w:val="20"/>
                <w:szCs w:val="20"/>
              </w:rPr>
              <w:t>Félix</w:t>
            </w:r>
            <w:r w:rsidR="00992BB2" w:rsidRPr="005403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992BB2" w:rsidRPr="005403F6">
              <w:rPr>
                <w:rFonts w:ascii="Times New Roman" w:hAnsi="Times New Roman" w:cs="Times New Roman"/>
                <w:bCs/>
                <w:sz w:val="20"/>
                <w:szCs w:val="20"/>
              </w:rPr>
              <w:t>Atair</w:t>
            </w:r>
            <w:proofErr w:type="spellEnd"/>
            <w:r w:rsidR="00992BB2" w:rsidRPr="005403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Falconi </w:t>
            </w:r>
          </w:p>
        </w:tc>
      </w:tr>
      <w:tr w:rsidR="00E4728F" w:rsidRPr="00977D3E" w14:paraId="018CA12E" w14:textId="77777777" w:rsidTr="00E4728F">
        <w:tc>
          <w:tcPr>
            <w:tcW w:w="2689" w:type="dxa"/>
          </w:tcPr>
          <w:p w14:paraId="4489475E" w14:textId="77777777" w:rsidR="00E4728F" w:rsidRPr="00042D4E" w:rsidRDefault="00E4728F" w:rsidP="00596DC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D4E">
              <w:rPr>
                <w:rFonts w:ascii="Times New Roman" w:hAnsi="Times New Roman" w:cs="Times New Roman"/>
                <w:b/>
                <w:sz w:val="20"/>
                <w:szCs w:val="20"/>
              </w:rPr>
              <w:t>NÚMERO DE PRÁCTICA</w:t>
            </w:r>
          </w:p>
        </w:tc>
        <w:tc>
          <w:tcPr>
            <w:tcW w:w="567" w:type="dxa"/>
          </w:tcPr>
          <w:p w14:paraId="6183ABB3" w14:textId="53A0F839" w:rsidR="00E4728F" w:rsidRPr="00042D4E" w:rsidRDefault="00E4728F" w:rsidP="00596DC7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D4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260" w:type="dxa"/>
            <w:gridSpan w:val="3"/>
          </w:tcPr>
          <w:p w14:paraId="0C192CB0" w14:textId="6E1A90BC" w:rsidR="00E4728F" w:rsidRPr="00042D4E" w:rsidRDefault="00E4728F" w:rsidP="00596DC7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D4E">
              <w:rPr>
                <w:rFonts w:ascii="Times New Roman" w:hAnsi="Times New Roman" w:cs="Times New Roman"/>
                <w:b/>
                <w:sz w:val="20"/>
                <w:szCs w:val="20"/>
              </w:rPr>
              <w:t>FECHA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986" w:type="dxa"/>
          </w:tcPr>
          <w:p w14:paraId="135EE7F8" w14:textId="498A610A" w:rsidR="00E4728F" w:rsidRPr="00042D4E" w:rsidRDefault="00E4728F" w:rsidP="00596DC7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D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HORA: </w:t>
            </w:r>
            <w:r w:rsidR="002405A5" w:rsidRPr="00543F9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405A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2405A5" w:rsidRPr="00543F9A">
              <w:rPr>
                <w:rFonts w:ascii="Times New Roman" w:hAnsi="Times New Roman" w:cs="Times New Roman"/>
                <w:bCs/>
                <w:sz w:val="20"/>
                <w:szCs w:val="20"/>
              </w:rPr>
              <w:t>:00-</w:t>
            </w:r>
            <w:r w:rsidR="002405A5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="002405A5" w:rsidRPr="00543F9A">
              <w:rPr>
                <w:rFonts w:ascii="Times New Roman" w:hAnsi="Times New Roman" w:cs="Times New Roman"/>
                <w:bCs/>
                <w:sz w:val="20"/>
                <w:szCs w:val="20"/>
              </w:rPr>
              <w:t>:00</w:t>
            </w:r>
          </w:p>
        </w:tc>
        <w:tc>
          <w:tcPr>
            <w:tcW w:w="1943" w:type="dxa"/>
            <w:gridSpan w:val="2"/>
          </w:tcPr>
          <w:p w14:paraId="3AF5C4D3" w14:textId="77C4FAD9" w:rsidR="00E4728F" w:rsidRPr="00042D4E" w:rsidRDefault="00E4728F" w:rsidP="00596DC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D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DURACIÓN: </w:t>
            </w:r>
            <w:r w:rsidR="006571C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856A7" w:rsidRPr="00977D3E" w14:paraId="352E06FF" w14:textId="77777777" w:rsidTr="00E4728F">
        <w:tc>
          <w:tcPr>
            <w:tcW w:w="2689" w:type="dxa"/>
            <w:vMerge w:val="restart"/>
            <w:vAlign w:val="center"/>
          </w:tcPr>
          <w:p w14:paraId="051A8C52" w14:textId="77777777" w:rsidR="002856A7" w:rsidRPr="00042D4E" w:rsidRDefault="002856A7" w:rsidP="00596D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D4E">
              <w:rPr>
                <w:rFonts w:ascii="Times New Roman" w:hAnsi="Times New Roman" w:cs="Times New Roman"/>
                <w:b/>
                <w:sz w:val="20"/>
                <w:szCs w:val="20"/>
              </w:rPr>
              <w:t>NOMBRE DE LOS ESTUDIANTES.</w:t>
            </w:r>
          </w:p>
        </w:tc>
        <w:tc>
          <w:tcPr>
            <w:tcW w:w="7756" w:type="dxa"/>
            <w:gridSpan w:val="7"/>
            <w:shd w:val="clear" w:color="auto" w:fill="F2F2F2" w:themeFill="background1" w:themeFillShade="F2"/>
          </w:tcPr>
          <w:p w14:paraId="6685C6F1" w14:textId="77777777" w:rsidR="002856A7" w:rsidRPr="00042D4E" w:rsidRDefault="002856A7" w:rsidP="00596D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D4E">
              <w:rPr>
                <w:rFonts w:ascii="Times New Roman" w:hAnsi="Times New Roman" w:cs="Times New Roman"/>
                <w:b/>
                <w:sz w:val="20"/>
                <w:szCs w:val="20"/>
              </w:rPr>
              <w:t>NÓMINA</w:t>
            </w:r>
          </w:p>
        </w:tc>
      </w:tr>
      <w:tr w:rsidR="002405A5" w:rsidRPr="00977D3E" w14:paraId="1BBAFA3C" w14:textId="77777777" w:rsidTr="00E4728F">
        <w:trPr>
          <w:trHeight w:val="311"/>
        </w:trPr>
        <w:tc>
          <w:tcPr>
            <w:tcW w:w="2689" w:type="dxa"/>
            <w:vMerge/>
            <w:vAlign w:val="center"/>
          </w:tcPr>
          <w:p w14:paraId="41CF34F6" w14:textId="77777777" w:rsidR="002405A5" w:rsidRPr="00042D4E" w:rsidRDefault="002405A5" w:rsidP="002405A5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2F906B" w14:textId="1D416E23" w:rsidR="002405A5" w:rsidRPr="00042D4E" w:rsidRDefault="002405A5" w:rsidP="002405A5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56FEA">
              <w:t>Acosta Cáceres Melany Sarahi</w:t>
            </w:r>
          </w:p>
        </w:tc>
        <w:tc>
          <w:tcPr>
            <w:tcW w:w="392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C4248C" w14:textId="722AF84C" w:rsidR="002405A5" w:rsidRPr="00042D4E" w:rsidRDefault="002405A5" w:rsidP="002405A5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75FC">
              <w:t>Pomagualli</w:t>
            </w:r>
            <w:proofErr w:type="spellEnd"/>
            <w:r w:rsidRPr="007575FC">
              <w:t xml:space="preserve"> Pucha </w:t>
            </w:r>
            <w:proofErr w:type="spellStart"/>
            <w:r w:rsidRPr="007575FC">
              <w:t>Jomayra</w:t>
            </w:r>
            <w:proofErr w:type="spellEnd"/>
            <w:r w:rsidRPr="007575FC">
              <w:t xml:space="preserve"> Vanesa</w:t>
            </w:r>
          </w:p>
        </w:tc>
      </w:tr>
      <w:tr w:rsidR="002405A5" w:rsidRPr="00977D3E" w14:paraId="3E740A0E" w14:textId="77777777" w:rsidTr="00E4728F">
        <w:trPr>
          <w:trHeight w:val="258"/>
        </w:trPr>
        <w:tc>
          <w:tcPr>
            <w:tcW w:w="2689" w:type="dxa"/>
            <w:vMerge/>
            <w:vAlign w:val="center"/>
          </w:tcPr>
          <w:p w14:paraId="6F1E8E6F" w14:textId="77777777" w:rsidR="002405A5" w:rsidRPr="00042D4E" w:rsidRDefault="002405A5" w:rsidP="002405A5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4B32D6" w14:textId="758475AA" w:rsidR="002405A5" w:rsidRPr="00042D4E" w:rsidRDefault="002405A5" w:rsidP="002405A5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56FEA">
              <w:t xml:space="preserve">Acosta </w:t>
            </w:r>
            <w:proofErr w:type="spellStart"/>
            <w:r w:rsidRPr="00156FEA">
              <w:t>Tenelema</w:t>
            </w:r>
            <w:proofErr w:type="spellEnd"/>
            <w:r w:rsidRPr="00156FEA">
              <w:t xml:space="preserve"> Marcela Carolina</w:t>
            </w:r>
          </w:p>
        </w:tc>
        <w:tc>
          <w:tcPr>
            <w:tcW w:w="392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9EE9F" w14:textId="75A2F6E9" w:rsidR="002405A5" w:rsidRPr="00042D4E" w:rsidRDefault="002405A5" w:rsidP="002405A5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575FC">
              <w:t>Quezada Vega Karen Vanessa</w:t>
            </w:r>
          </w:p>
        </w:tc>
      </w:tr>
      <w:tr w:rsidR="002405A5" w:rsidRPr="00977D3E" w14:paraId="7945A496" w14:textId="77777777" w:rsidTr="00E4728F">
        <w:trPr>
          <w:trHeight w:val="258"/>
        </w:trPr>
        <w:tc>
          <w:tcPr>
            <w:tcW w:w="2689" w:type="dxa"/>
            <w:vMerge/>
            <w:vAlign w:val="center"/>
          </w:tcPr>
          <w:p w14:paraId="7C84C372" w14:textId="77777777" w:rsidR="002405A5" w:rsidRPr="00042D4E" w:rsidRDefault="002405A5" w:rsidP="002405A5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4AE474" w14:textId="07E7481A" w:rsidR="002405A5" w:rsidRPr="00042D4E" w:rsidRDefault="002405A5" w:rsidP="002405A5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56FEA">
              <w:t>Amores Garzón Jonathan Israel</w:t>
            </w:r>
          </w:p>
        </w:tc>
        <w:tc>
          <w:tcPr>
            <w:tcW w:w="392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AE951" w14:textId="4EC5BFDF" w:rsidR="002405A5" w:rsidRPr="00042D4E" w:rsidRDefault="002405A5" w:rsidP="002405A5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75FC">
              <w:t>Quilligana</w:t>
            </w:r>
            <w:proofErr w:type="spellEnd"/>
            <w:r w:rsidRPr="007575FC">
              <w:t xml:space="preserve"> Urrutia Lorena Estefanía</w:t>
            </w:r>
          </w:p>
        </w:tc>
      </w:tr>
      <w:tr w:rsidR="002405A5" w:rsidRPr="00977D3E" w14:paraId="4E9D96CD" w14:textId="77777777" w:rsidTr="00E4728F">
        <w:trPr>
          <w:trHeight w:val="258"/>
        </w:trPr>
        <w:tc>
          <w:tcPr>
            <w:tcW w:w="2689" w:type="dxa"/>
            <w:vMerge/>
            <w:vAlign w:val="center"/>
          </w:tcPr>
          <w:p w14:paraId="2E753585" w14:textId="77777777" w:rsidR="002405A5" w:rsidRPr="00042D4E" w:rsidRDefault="002405A5" w:rsidP="002405A5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92F4EC" w14:textId="135EB138" w:rsidR="002405A5" w:rsidRPr="00042D4E" w:rsidRDefault="002405A5" w:rsidP="002405A5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hanging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FEA">
              <w:t>Ashqui</w:t>
            </w:r>
            <w:proofErr w:type="spellEnd"/>
            <w:r w:rsidRPr="00156FEA">
              <w:t xml:space="preserve"> </w:t>
            </w:r>
            <w:proofErr w:type="spellStart"/>
            <w:r w:rsidRPr="00156FEA">
              <w:t>Agualsaca</w:t>
            </w:r>
            <w:proofErr w:type="spellEnd"/>
            <w:r w:rsidRPr="00156FEA">
              <w:t xml:space="preserve"> Kerly Graciela</w:t>
            </w:r>
          </w:p>
        </w:tc>
        <w:tc>
          <w:tcPr>
            <w:tcW w:w="392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CAF81F" w14:textId="32C177B4" w:rsidR="002405A5" w:rsidRPr="00042D4E" w:rsidRDefault="002405A5" w:rsidP="002405A5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575FC">
              <w:t xml:space="preserve">Raza </w:t>
            </w:r>
            <w:proofErr w:type="spellStart"/>
            <w:r w:rsidRPr="007575FC">
              <w:t>Aulla</w:t>
            </w:r>
            <w:proofErr w:type="spellEnd"/>
            <w:r w:rsidRPr="007575FC">
              <w:t xml:space="preserve"> Doménica Salome</w:t>
            </w:r>
          </w:p>
        </w:tc>
      </w:tr>
      <w:tr w:rsidR="002405A5" w:rsidRPr="00977D3E" w14:paraId="6B9CE374" w14:textId="77777777" w:rsidTr="00E4728F">
        <w:trPr>
          <w:trHeight w:val="258"/>
        </w:trPr>
        <w:tc>
          <w:tcPr>
            <w:tcW w:w="2689" w:type="dxa"/>
            <w:vMerge/>
            <w:vAlign w:val="center"/>
          </w:tcPr>
          <w:p w14:paraId="7DB22BA3" w14:textId="77777777" w:rsidR="002405A5" w:rsidRPr="00042D4E" w:rsidRDefault="002405A5" w:rsidP="002405A5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10D15" w14:textId="4319FD5F" w:rsidR="002405A5" w:rsidRPr="00042D4E" w:rsidRDefault="002405A5" w:rsidP="002405A5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56FEA">
              <w:t>Balladares Hidalgo Micaela Alexandra</w:t>
            </w:r>
          </w:p>
        </w:tc>
        <w:tc>
          <w:tcPr>
            <w:tcW w:w="392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9FB984" w14:textId="5719FC34" w:rsidR="002405A5" w:rsidRPr="00042D4E" w:rsidRDefault="002405A5" w:rsidP="002405A5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575FC">
              <w:t>Reyes Bayas Angie Viviana</w:t>
            </w:r>
          </w:p>
        </w:tc>
      </w:tr>
      <w:tr w:rsidR="002405A5" w:rsidRPr="00977D3E" w14:paraId="470F805D" w14:textId="77777777" w:rsidTr="00E4728F">
        <w:trPr>
          <w:trHeight w:val="258"/>
        </w:trPr>
        <w:tc>
          <w:tcPr>
            <w:tcW w:w="2689" w:type="dxa"/>
            <w:vMerge/>
            <w:vAlign w:val="center"/>
          </w:tcPr>
          <w:p w14:paraId="6BA8C8E7" w14:textId="77777777" w:rsidR="002405A5" w:rsidRPr="00042D4E" w:rsidRDefault="002405A5" w:rsidP="002405A5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302D2B" w14:textId="1AED36CD" w:rsidR="002405A5" w:rsidRPr="00042D4E" w:rsidRDefault="002405A5" w:rsidP="002405A5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04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56FEA">
              <w:t>Barragán Lara Patricio Xavier</w:t>
            </w:r>
          </w:p>
        </w:tc>
        <w:tc>
          <w:tcPr>
            <w:tcW w:w="392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41B026" w14:textId="195C1D22" w:rsidR="002405A5" w:rsidRPr="00042D4E" w:rsidRDefault="002405A5" w:rsidP="002405A5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575FC">
              <w:t>Ríos Palma Heidi Lissette</w:t>
            </w:r>
          </w:p>
        </w:tc>
      </w:tr>
      <w:tr w:rsidR="002405A5" w:rsidRPr="00977D3E" w14:paraId="50967768" w14:textId="77777777" w:rsidTr="00E4728F">
        <w:trPr>
          <w:trHeight w:val="258"/>
        </w:trPr>
        <w:tc>
          <w:tcPr>
            <w:tcW w:w="2689" w:type="dxa"/>
            <w:vMerge/>
            <w:vAlign w:val="center"/>
          </w:tcPr>
          <w:p w14:paraId="2B84B8A9" w14:textId="77777777" w:rsidR="002405A5" w:rsidRPr="00042D4E" w:rsidRDefault="002405A5" w:rsidP="002405A5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ACE82A" w14:textId="7DD65FD7" w:rsidR="002405A5" w:rsidRPr="00042D4E" w:rsidRDefault="002405A5" w:rsidP="002405A5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56FEA">
              <w:t>Borja Coba Malena Salome</w:t>
            </w:r>
          </w:p>
        </w:tc>
        <w:tc>
          <w:tcPr>
            <w:tcW w:w="392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5352A7" w14:textId="2427A7AE" w:rsidR="002405A5" w:rsidRPr="00042D4E" w:rsidRDefault="002405A5" w:rsidP="002405A5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575FC">
              <w:t xml:space="preserve">Saltos </w:t>
            </w:r>
            <w:proofErr w:type="spellStart"/>
            <w:r w:rsidRPr="007575FC">
              <w:t>Michilena</w:t>
            </w:r>
            <w:proofErr w:type="spellEnd"/>
            <w:r w:rsidRPr="007575FC">
              <w:t xml:space="preserve"> </w:t>
            </w:r>
            <w:proofErr w:type="spellStart"/>
            <w:r w:rsidRPr="007575FC">
              <w:t>Anahely</w:t>
            </w:r>
            <w:proofErr w:type="spellEnd"/>
            <w:r w:rsidRPr="007575FC">
              <w:t xml:space="preserve"> </w:t>
            </w:r>
            <w:proofErr w:type="spellStart"/>
            <w:r w:rsidRPr="007575FC">
              <w:t>Arai</w:t>
            </w:r>
            <w:proofErr w:type="spellEnd"/>
          </w:p>
        </w:tc>
      </w:tr>
      <w:tr w:rsidR="002405A5" w:rsidRPr="00977D3E" w14:paraId="22B20F2D" w14:textId="77777777" w:rsidTr="00E4728F">
        <w:trPr>
          <w:trHeight w:val="258"/>
        </w:trPr>
        <w:tc>
          <w:tcPr>
            <w:tcW w:w="2689" w:type="dxa"/>
            <w:vMerge/>
            <w:vAlign w:val="center"/>
          </w:tcPr>
          <w:p w14:paraId="376FA719" w14:textId="77777777" w:rsidR="002405A5" w:rsidRPr="00042D4E" w:rsidRDefault="002405A5" w:rsidP="002405A5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6A4D83" w14:textId="20587955" w:rsidR="002405A5" w:rsidRPr="00042D4E" w:rsidRDefault="002405A5" w:rsidP="002405A5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10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56FEA">
              <w:t xml:space="preserve">Caiza Moya </w:t>
            </w:r>
            <w:proofErr w:type="spellStart"/>
            <w:r w:rsidRPr="00156FEA">
              <w:t>Sulay</w:t>
            </w:r>
            <w:proofErr w:type="spellEnd"/>
            <w:r w:rsidRPr="00156FEA">
              <w:t xml:space="preserve"> Maricela</w:t>
            </w:r>
          </w:p>
        </w:tc>
        <w:tc>
          <w:tcPr>
            <w:tcW w:w="392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C75D9" w14:textId="7D33716A" w:rsidR="002405A5" w:rsidRPr="00042D4E" w:rsidRDefault="002405A5" w:rsidP="002405A5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575FC">
              <w:t>Samaniego Álvarez Angie Nicole</w:t>
            </w:r>
          </w:p>
        </w:tc>
      </w:tr>
      <w:tr w:rsidR="002405A5" w:rsidRPr="00977D3E" w14:paraId="25487385" w14:textId="77777777" w:rsidTr="00E4728F">
        <w:trPr>
          <w:trHeight w:val="258"/>
        </w:trPr>
        <w:tc>
          <w:tcPr>
            <w:tcW w:w="2689" w:type="dxa"/>
            <w:vMerge/>
            <w:vAlign w:val="center"/>
          </w:tcPr>
          <w:p w14:paraId="01036267" w14:textId="77777777" w:rsidR="002405A5" w:rsidRPr="00042D4E" w:rsidRDefault="002405A5" w:rsidP="002405A5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E2AF07" w14:textId="3992F0E9" w:rsidR="002405A5" w:rsidRPr="00F56824" w:rsidRDefault="002405A5" w:rsidP="002405A5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10" w:hanging="141"/>
            </w:pPr>
            <w:r w:rsidRPr="00156FEA">
              <w:t xml:space="preserve">Carrasco </w:t>
            </w:r>
            <w:proofErr w:type="spellStart"/>
            <w:r w:rsidRPr="00156FEA">
              <w:t>Chiluisa</w:t>
            </w:r>
            <w:proofErr w:type="spellEnd"/>
            <w:r w:rsidRPr="00156FEA">
              <w:t xml:space="preserve"> Escarlet Nicole</w:t>
            </w:r>
          </w:p>
        </w:tc>
        <w:tc>
          <w:tcPr>
            <w:tcW w:w="392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61A6CB" w14:textId="5530E8CB" w:rsidR="002405A5" w:rsidRPr="00F56824" w:rsidRDefault="002405A5" w:rsidP="002405A5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</w:pPr>
            <w:r w:rsidRPr="007575FC">
              <w:t>Silva Villa Cinthya Dayana</w:t>
            </w:r>
          </w:p>
        </w:tc>
      </w:tr>
      <w:tr w:rsidR="002405A5" w:rsidRPr="00977D3E" w14:paraId="7CCE143A" w14:textId="77777777" w:rsidTr="00E4728F">
        <w:trPr>
          <w:trHeight w:val="258"/>
        </w:trPr>
        <w:tc>
          <w:tcPr>
            <w:tcW w:w="2689" w:type="dxa"/>
            <w:vMerge/>
            <w:vAlign w:val="center"/>
          </w:tcPr>
          <w:p w14:paraId="67846A83" w14:textId="77777777" w:rsidR="002405A5" w:rsidRPr="00042D4E" w:rsidRDefault="002405A5" w:rsidP="002405A5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F72271" w14:textId="505F9EE5" w:rsidR="002405A5" w:rsidRPr="00F56824" w:rsidRDefault="002405A5" w:rsidP="002405A5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10" w:hanging="141"/>
            </w:pPr>
            <w:r w:rsidRPr="00156FEA">
              <w:t>Carvajal Inca Grace Dayana</w:t>
            </w:r>
          </w:p>
        </w:tc>
        <w:tc>
          <w:tcPr>
            <w:tcW w:w="392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F136BE" w14:textId="7F5F8749" w:rsidR="002405A5" w:rsidRPr="00F56824" w:rsidRDefault="002405A5" w:rsidP="002405A5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</w:pPr>
            <w:r w:rsidRPr="007575FC">
              <w:t>Silva Hidalgo Lizbeth Estefanía</w:t>
            </w:r>
          </w:p>
        </w:tc>
      </w:tr>
      <w:tr w:rsidR="002405A5" w:rsidRPr="00977D3E" w14:paraId="4C9EAE62" w14:textId="77777777" w:rsidTr="00E4728F">
        <w:trPr>
          <w:trHeight w:val="258"/>
        </w:trPr>
        <w:tc>
          <w:tcPr>
            <w:tcW w:w="2689" w:type="dxa"/>
            <w:vMerge/>
            <w:vAlign w:val="center"/>
          </w:tcPr>
          <w:p w14:paraId="08EAE2FE" w14:textId="77777777" w:rsidR="002405A5" w:rsidRPr="00042D4E" w:rsidRDefault="002405A5" w:rsidP="002405A5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12EFBC" w14:textId="0ED60265" w:rsidR="002405A5" w:rsidRPr="00F56824" w:rsidRDefault="002405A5" w:rsidP="002405A5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10" w:hanging="141"/>
            </w:pPr>
            <w:r w:rsidRPr="00156FEA">
              <w:t>Castillo Jiménez María Belén</w:t>
            </w:r>
          </w:p>
        </w:tc>
        <w:tc>
          <w:tcPr>
            <w:tcW w:w="392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83C163" w14:textId="43268E5E" w:rsidR="002405A5" w:rsidRPr="00F56824" w:rsidRDefault="002405A5" w:rsidP="002405A5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</w:pPr>
            <w:r w:rsidRPr="007575FC">
              <w:t xml:space="preserve">Tapia </w:t>
            </w:r>
            <w:proofErr w:type="spellStart"/>
            <w:r w:rsidRPr="007575FC">
              <w:t>Jacome</w:t>
            </w:r>
            <w:proofErr w:type="spellEnd"/>
            <w:r w:rsidRPr="007575FC">
              <w:t xml:space="preserve"> Priscila Mikaela</w:t>
            </w:r>
          </w:p>
        </w:tc>
      </w:tr>
      <w:tr w:rsidR="002405A5" w:rsidRPr="00977D3E" w14:paraId="600DB4EF" w14:textId="77777777" w:rsidTr="00E4728F">
        <w:trPr>
          <w:trHeight w:val="258"/>
        </w:trPr>
        <w:tc>
          <w:tcPr>
            <w:tcW w:w="2689" w:type="dxa"/>
            <w:vMerge/>
            <w:vAlign w:val="center"/>
          </w:tcPr>
          <w:p w14:paraId="7E94C103" w14:textId="77777777" w:rsidR="002405A5" w:rsidRPr="00042D4E" w:rsidRDefault="002405A5" w:rsidP="002405A5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BD8102" w14:textId="39309666" w:rsidR="002405A5" w:rsidRPr="00F56824" w:rsidRDefault="002405A5" w:rsidP="002405A5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10" w:hanging="141"/>
            </w:pPr>
            <w:r w:rsidRPr="00156FEA">
              <w:t>Cedeño Jiménez José Andrés</w:t>
            </w:r>
          </w:p>
        </w:tc>
        <w:tc>
          <w:tcPr>
            <w:tcW w:w="392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0AF961" w14:textId="18069043" w:rsidR="002405A5" w:rsidRPr="00F56824" w:rsidRDefault="002405A5" w:rsidP="002405A5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</w:pPr>
            <w:r w:rsidRPr="007575FC">
              <w:t xml:space="preserve">Tarco </w:t>
            </w:r>
            <w:proofErr w:type="spellStart"/>
            <w:r w:rsidRPr="007575FC">
              <w:t>Tarco</w:t>
            </w:r>
            <w:proofErr w:type="spellEnd"/>
            <w:r w:rsidRPr="007575FC">
              <w:t xml:space="preserve"> Mónica Esperanza</w:t>
            </w:r>
          </w:p>
        </w:tc>
      </w:tr>
      <w:tr w:rsidR="002405A5" w:rsidRPr="00977D3E" w14:paraId="656732F7" w14:textId="77777777" w:rsidTr="00E4728F">
        <w:trPr>
          <w:trHeight w:val="258"/>
        </w:trPr>
        <w:tc>
          <w:tcPr>
            <w:tcW w:w="2689" w:type="dxa"/>
            <w:vMerge/>
            <w:vAlign w:val="center"/>
          </w:tcPr>
          <w:p w14:paraId="08E32598" w14:textId="77777777" w:rsidR="002405A5" w:rsidRPr="00042D4E" w:rsidRDefault="002405A5" w:rsidP="002405A5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5F9DC" w14:textId="4ED91F93" w:rsidR="002405A5" w:rsidRPr="00F56824" w:rsidRDefault="002405A5" w:rsidP="002405A5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10" w:hanging="141"/>
            </w:pPr>
            <w:r w:rsidRPr="00156FEA">
              <w:t xml:space="preserve">Espinoza </w:t>
            </w:r>
            <w:proofErr w:type="spellStart"/>
            <w:r w:rsidRPr="00156FEA">
              <w:t>Espinoza</w:t>
            </w:r>
            <w:proofErr w:type="spellEnd"/>
            <w:r w:rsidRPr="00156FEA">
              <w:t xml:space="preserve"> Tanya Aracelly</w:t>
            </w:r>
          </w:p>
        </w:tc>
        <w:tc>
          <w:tcPr>
            <w:tcW w:w="392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EF24E6" w14:textId="7A9D1DF2" w:rsidR="002405A5" w:rsidRPr="00F56824" w:rsidRDefault="002405A5" w:rsidP="002405A5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</w:pPr>
            <w:r w:rsidRPr="007575FC">
              <w:t xml:space="preserve">Tirado Martínez Wendy </w:t>
            </w:r>
            <w:proofErr w:type="spellStart"/>
            <w:r w:rsidRPr="007575FC">
              <w:t>Anahi</w:t>
            </w:r>
            <w:proofErr w:type="spellEnd"/>
          </w:p>
        </w:tc>
      </w:tr>
      <w:tr w:rsidR="002405A5" w:rsidRPr="00977D3E" w14:paraId="6DD389D2" w14:textId="77777777" w:rsidTr="00E4728F">
        <w:trPr>
          <w:trHeight w:val="258"/>
        </w:trPr>
        <w:tc>
          <w:tcPr>
            <w:tcW w:w="2689" w:type="dxa"/>
            <w:vMerge/>
            <w:vAlign w:val="center"/>
          </w:tcPr>
          <w:p w14:paraId="431B1C66" w14:textId="77777777" w:rsidR="002405A5" w:rsidRPr="00042D4E" w:rsidRDefault="002405A5" w:rsidP="002405A5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1D59C3" w14:textId="7892BB0E" w:rsidR="002405A5" w:rsidRPr="00F56824" w:rsidRDefault="002405A5" w:rsidP="002405A5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10" w:hanging="141"/>
            </w:pPr>
            <w:r w:rsidRPr="00156FEA">
              <w:t xml:space="preserve">Guamán Roldan </w:t>
            </w:r>
            <w:proofErr w:type="spellStart"/>
            <w:r w:rsidRPr="00156FEA">
              <w:t>Tamia</w:t>
            </w:r>
            <w:proofErr w:type="spellEnd"/>
            <w:r w:rsidRPr="00156FEA">
              <w:t xml:space="preserve"> </w:t>
            </w:r>
            <w:proofErr w:type="spellStart"/>
            <w:r w:rsidRPr="00156FEA">
              <w:t>Jamilexs</w:t>
            </w:r>
            <w:proofErr w:type="spellEnd"/>
          </w:p>
        </w:tc>
        <w:tc>
          <w:tcPr>
            <w:tcW w:w="392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09461D" w14:textId="301F08E4" w:rsidR="002405A5" w:rsidRPr="00F56824" w:rsidRDefault="002405A5" w:rsidP="002405A5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</w:pPr>
            <w:proofErr w:type="spellStart"/>
            <w:r w:rsidRPr="007575FC">
              <w:t>Tuapanta</w:t>
            </w:r>
            <w:proofErr w:type="spellEnd"/>
            <w:r w:rsidRPr="007575FC">
              <w:t xml:space="preserve"> </w:t>
            </w:r>
            <w:proofErr w:type="spellStart"/>
            <w:r w:rsidRPr="007575FC">
              <w:t>Yupa</w:t>
            </w:r>
            <w:proofErr w:type="spellEnd"/>
            <w:r w:rsidRPr="007575FC">
              <w:t xml:space="preserve"> Johanna Estefanía</w:t>
            </w:r>
          </w:p>
        </w:tc>
      </w:tr>
      <w:tr w:rsidR="002405A5" w:rsidRPr="00977D3E" w14:paraId="5507D141" w14:textId="77777777" w:rsidTr="00E4728F">
        <w:trPr>
          <w:trHeight w:val="258"/>
        </w:trPr>
        <w:tc>
          <w:tcPr>
            <w:tcW w:w="2689" w:type="dxa"/>
            <w:vMerge/>
            <w:vAlign w:val="center"/>
          </w:tcPr>
          <w:p w14:paraId="675B327A" w14:textId="77777777" w:rsidR="002405A5" w:rsidRPr="00042D4E" w:rsidRDefault="002405A5" w:rsidP="002405A5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AC4F75" w14:textId="31A4CF99" w:rsidR="002405A5" w:rsidRPr="00F56824" w:rsidRDefault="002405A5" w:rsidP="002405A5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10" w:hanging="141"/>
            </w:pPr>
            <w:r w:rsidRPr="00156FEA">
              <w:t>Hernández Grijalva Jessica Ana</w:t>
            </w:r>
          </w:p>
        </w:tc>
        <w:tc>
          <w:tcPr>
            <w:tcW w:w="392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710CE0" w14:textId="1ABCDFF9" w:rsidR="002405A5" w:rsidRPr="00F56824" w:rsidRDefault="002405A5" w:rsidP="002405A5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</w:pPr>
            <w:proofErr w:type="spellStart"/>
            <w:r w:rsidRPr="007575FC">
              <w:t>Vaquilema</w:t>
            </w:r>
            <w:proofErr w:type="spellEnd"/>
            <w:r w:rsidRPr="007575FC">
              <w:t xml:space="preserve"> </w:t>
            </w:r>
            <w:proofErr w:type="spellStart"/>
            <w:r w:rsidRPr="007575FC">
              <w:t>Anilema</w:t>
            </w:r>
            <w:proofErr w:type="spellEnd"/>
            <w:r w:rsidRPr="007575FC">
              <w:t xml:space="preserve"> María Alicia</w:t>
            </w:r>
          </w:p>
        </w:tc>
      </w:tr>
      <w:tr w:rsidR="002405A5" w:rsidRPr="00977D3E" w14:paraId="4F65CF0C" w14:textId="77777777" w:rsidTr="00E4728F">
        <w:trPr>
          <w:trHeight w:val="258"/>
        </w:trPr>
        <w:tc>
          <w:tcPr>
            <w:tcW w:w="2689" w:type="dxa"/>
            <w:vMerge/>
            <w:vAlign w:val="center"/>
          </w:tcPr>
          <w:p w14:paraId="27F38953" w14:textId="77777777" w:rsidR="002405A5" w:rsidRPr="00042D4E" w:rsidRDefault="002405A5" w:rsidP="002405A5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E7FF68" w14:textId="5AE9208F" w:rsidR="002405A5" w:rsidRPr="00F56824" w:rsidRDefault="002405A5" w:rsidP="002405A5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10" w:hanging="141"/>
            </w:pPr>
            <w:r w:rsidRPr="00156FEA">
              <w:t>Iglesias Vera Axel Alexander</w:t>
            </w:r>
          </w:p>
        </w:tc>
        <w:tc>
          <w:tcPr>
            <w:tcW w:w="392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3E12D9" w14:textId="3C92E444" w:rsidR="002405A5" w:rsidRPr="00F56824" w:rsidRDefault="002405A5" w:rsidP="002405A5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</w:pPr>
            <w:r w:rsidRPr="007575FC">
              <w:t xml:space="preserve">Vargas Mites Helens </w:t>
            </w:r>
            <w:proofErr w:type="spellStart"/>
            <w:r w:rsidRPr="007575FC">
              <w:t>Mailyn</w:t>
            </w:r>
            <w:proofErr w:type="spellEnd"/>
          </w:p>
        </w:tc>
      </w:tr>
      <w:tr w:rsidR="002405A5" w:rsidRPr="00977D3E" w14:paraId="5DABCE44" w14:textId="77777777" w:rsidTr="00E4728F">
        <w:trPr>
          <w:trHeight w:val="258"/>
        </w:trPr>
        <w:tc>
          <w:tcPr>
            <w:tcW w:w="2689" w:type="dxa"/>
            <w:vMerge/>
            <w:vAlign w:val="center"/>
          </w:tcPr>
          <w:p w14:paraId="23FD093E" w14:textId="77777777" w:rsidR="002405A5" w:rsidRPr="00042D4E" w:rsidRDefault="002405A5" w:rsidP="002405A5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84579" w14:textId="6A4BE821" w:rsidR="002405A5" w:rsidRPr="00042D4E" w:rsidRDefault="002405A5" w:rsidP="002405A5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hanging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FEA">
              <w:t>Inguillay</w:t>
            </w:r>
            <w:proofErr w:type="spellEnd"/>
            <w:r w:rsidRPr="00156FEA">
              <w:t xml:space="preserve"> </w:t>
            </w:r>
            <w:proofErr w:type="spellStart"/>
            <w:r w:rsidRPr="00156FEA">
              <w:t>Guagcha</w:t>
            </w:r>
            <w:proofErr w:type="spellEnd"/>
            <w:r w:rsidRPr="00156FEA">
              <w:t xml:space="preserve"> Elvis Estiven</w:t>
            </w:r>
          </w:p>
        </w:tc>
        <w:tc>
          <w:tcPr>
            <w:tcW w:w="392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6E0467" w14:textId="7D153B9C" w:rsidR="002405A5" w:rsidRPr="00042D4E" w:rsidRDefault="002405A5" w:rsidP="002405A5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575FC">
              <w:t xml:space="preserve">Vélez Arévalo </w:t>
            </w:r>
            <w:proofErr w:type="spellStart"/>
            <w:r w:rsidRPr="007575FC">
              <w:t>Talitacum</w:t>
            </w:r>
            <w:proofErr w:type="spellEnd"/>
            <w:r w:rsidRPr="007575FC">
              <w:t xml:space="preserve"> Yolanda</w:t>
            </w:r>
          </w:p>
        </w:tc>
      </w:tr>
      <w:tr w:rsidR="002405A5" w:rsidRPr="00977D3E" w14:paraId="3985BB9C" w14:textId="77777777" w:rsidTr="00E4728F">
        <w:trPr>
          <w:trHeight w:val="258"/>
        </w:trPr>
        <w:tc>
          <w:tcPr>
            <w:tcW w:w="2689" w:type="dxa"/>
            <w:vMerge/>
            <w:vAlign w:val="center"/>
          </w:tcPr>
          <w:p w14:paraId="5AD8DD0E" w14:textId="77777777" w:rsidR="002405A5" w:rsidRPr="00042D4E" w:rsidRDefault="002405A5" w:rsidP="002405A5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A552C7" w14:textId="329CD904" w:rsidR="002405A5" w:rsidRPr="00042D4E" w:rsidRDefault="002405A5" w:rsidP="002405A5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56FEA">
              <w:t xml:space="preserve">Noboa Ríos Jessica </w:t>
            </w:r>
            <w:proofErr w:type="spellStart"/>
            <w:r w:rsidRPr="00156FEA">
              <w:t>Lisbed</w:t>
            </w:r>
            <w:proofErr w:type="spellEnd"/>
          </w:p>
        </w:tc>
        <w:tc>
          <w:tcPr>
            <w:tcW w:w="392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657D52" w14:textId="463E4658" w:rsidR="002405A5" w:rsidRPr="00042D4E" w:rsidRDefault="002405A5" w:rsidP="002405A5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575FC">
              <w:t>Vizuete Parra Oliver Daniel</w:t>
            </w:r>
          </w:p>
        </w:tc>
      </w:tr>
      <w:tr w:rsidR="002405A5" w:rsidRPr="00977D3E" w14:paraId="111901E9" w14:textId="77777777" w:rsidTr="00E4728F">
        <w:trPr>
          <w:trHeight w:val="258"/>
        </w:trPr>
        <w:tc>
          <w:tcPr>
            <w:tcW w:w="2689" w:type="dxa"/>
            <w:vMerge/>
            <w:vAlign w:val="center"/>
          </w:tcPr>
          <w:p w14:paraId="5A7B1D39" w14:textId="77777777" w:rsidR="002405A5" w:rsidRPr="00042D4E" w:rsidRDefault="002405A5" w:rsidP="002405A5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1CED79" w14:textId="5E1D7A47" w:rsidR="002405A5" w:rsidRPr="00042D4E" w:rsidRDefault="002405A5" w:rsidP="002405A5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56FEA">
              <w:t>Osorio Quinatoa Allison Nayeli</w:t>
            </w:r>
          </w:p>
        </w:tc>
        <w:tc>
          <w:tcPr>
            <w:tcW w:w="392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CF05A9" w14:textId="2BE8ED9B" w:rsidR="002405A5" w:rsidRPr="00042D4E" w:rsidRDefault="002405A5" w:rsidP="002405A5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75FC">
              <w:t>Yucta</w:t>
            </w:r>
            <w:proofErr w:type="spellEnd"/>
            <w:r w:rsidRPr="007575FC">
              <w:t xml:space="preserve"> Concha Erick Joel</w:t>
            </w:r>
          </w:p>
        </w:tc>
      </w:tr>
      <w:tr w:rsidR="002405A5" w:rsidRPr="00977D3E" w14:paraId="43CA37E0" w14:textId="77777777" w:rsidTr="00E4728F">
        <w:trPr>
          <w:trHeight w:val="258"/>
        </w:trPr>
        <w:tc>
          <w:tcPr>
            <w:tcW w:w="2689" w:type="dxa"/>
            <w:vMerge/>
            <w:vAlign w:val="center"/>
          </w:tcPr>
          <w:p w14:paraId="1326F8D3" w14:textId="77777777" w:rsidR="002405A5" w:rsidRPr="00042D4E" w:rsidRDefault="002405A5" w:rsidP="002405A5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24857A" w14:textId="21F017CC" w:rsidR="002405A5" w:rsidRPr="00042D4E" w:rsidRDefault="002405A5" w:rsidP="002405A5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56FEA">
              <w:t xml:space="preserve">Parra </w:t>
            </w:r>
            <w:proofErr w:type="spellStart"/>
            <w:r w:rsidRPr="00156FEA">
              <w:t>Parra</w:t>
            </w:r>
            <w:proofErr w:type="spellEnd"/>
            <w:r w:rsidRPr="00156FEA">
              <w:t xml:space="preserve"> </w:t>
            </w:r>
            <w:proofErr w:type="spellStart"/>
            <w:r w:rsidRPr="00156FEA">
              <w:t>Alisson</w:t>
            </w:r>
            <w:proofErr w:type="spellEnd"/>
            <w:r w:rsidRPr="00156FEA">
              <w:t xml:space="preserve"> Melina</w:t>
            </w:r>
          </w:p>
        </w:tc>
        <w:tc>
          <w:tcPr>
            <w:tcW w:w="392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17674" w14:textId="12CDA156" w:rsidR="002405A5" w:rsidRPr="00042D4E" w:rsidRDefault="002405A5" w:rsidP="002405A5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575FC">
              <w:t>Zambrano Cáceres Laura Estefanía</w:t>
            </w:r>
          </w:p>
        </w:tc>
      </w:tr>
      <w:tr w:rsidR="002405A5" w:rsidRPr="00977D3E" w14:paraId="62572DEB" w14:textId="77777777" w:rsidTr="00E4728F">
        <w:trPr>
          <w:trHeight w:val="258"/>
        </w:trPr>
        <w:tc>
          <w:tcPr>
            <w:tcW w:w="2689" w:type="dxa"/>
            <w:vMerge/>
            <w:vAlign w:val="center"/>
          </w:tcPr>
          <w:p w14:paraId="3FCE7041" w14:textId="77777777" w:rsidR="002405A5" w:rsidRPr="00042D4E" w:rsidRDefault="002405A5" w:rsidP="002405A5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B54C52" w14:textId="75B32ADE" w:rsidR="002405A5" w:rsidRPr="00042D4E" w:rsidRDefault="002405A5" w:rsidP="002405A5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hanging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2B73">
              <w:rPr>
                <w:rFonts w:ascii="Times New Roman" w:hAnsi="Times New Roman" w:cs="Times New Roman"/>
                <w:sz w:val="20"/>
                <w:szCs w:val="20"/>
              </w:rPr>
              <w:t>Pinduisaca</w:t>
            </w:r>
            <w:proofErr w:type="spellEnd"/>
            <w:r w:rsidRPr="00142B73">
              <w:rPr>
                <w:rFonts w:ascii="Times New Roman" w:hAnsi="Times New Roman" w:cs="Times New Roman"/>
                <w:sz w:val="20"/>
                <w:szCs w:val="20"/>
              </w:rPr>
              <w:t xml:space="preserve"> Pinta Sandra Verónica</w:t>
            </w:r>
          </w:p>
        </w:tc>
        <w:tc>
          <w:tcPr>
            <w:tcW w:w="392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3DD668" w14:textId="0CF9F3E7" w:rsidR="002405A5" w:rsidRPr="00042D4E" w:rsidRDefault="002405A5" w:rsidP="002405A5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1CA" w:rsidRPr="00977D3E" w14:paraId="16E37BD2" w14:textId="77777777" w:rsidTr="00E4728F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AB55CB1" w14:textId="6254B3B2" w:rsidR="006571CA" w:rsidRPr="00042D4E" w:rsidRDefault="006571CA" w:rsidP="006571CA">
            <w:pPr>
              <w:spacing w:after="0"/>
              <w:ind w:left="-74" w:right="-1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D4E">
              <w:rPr>
                <w:rFonts w:ascii="Times New Roman" w:hAnsi="Times New Roman" w:cs="Times New Roman"/>
                <w:b/>
                <w:sz w:val="20"/>
                <w:szCs w:val="20"/>
              </w:rPr>
              <w:t>LUGAR DE LA PRÁCTICA</w:t>
            </w:r>
          </w:p>
        </w:tc>
        <w:tc>
          <w:tcPr>
            <w:tcW w:w="7756" w:type="dxa"/>
            <w:gridSpan w:val="7"/>
          </w:tcPr>
          <w:p w14:paraId="4F33F24E" w14:textId="2634E8F4" w:rsidR="006571CA" w:rsidRPr="00042D4E" w:rsidRDefault="006571CA" w:rsidP="006571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E301 Laboratorio de Química, Toxicología y Forense</w:t>
            </w:r>
          </w:p>
        </w:tc>
      </w:tr>
      <w:tr w:rsidR="006571CA" w:rsidRPr="00977D3E" w14:paraId="4BFA1213" w14:textId="77777777" w:rsidTr="00E4728F">
        <w:tc>
          <w:tcPr>
            <w:tcW w:w="2689" w:type="dxa"/>
            <w:vAlign w:val="center"/>
          </w:tcPr>
          <w:p w14:paraId="3011E6D4" w14:textId="77777777" w:rsidR="006571CA" w:rsidRPr="00042D4E" w:rsidRDefault="006571CA" w:rsidP="006571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D4E">
              <w:rPr>
                <w:rFonts w:ascii="Times New Roman" w:hAnsi="Times New Roman" w:cs="Times New Roman"/>
                <w:b/>
                <w:sz w:val="20"/>
                <w:szCs w:val="20"/>
              </w:rPr>
              <w:t>TÍTULO DE LA UNIDAD</w:t>
            </w:r>
          </w:p>
        </w:tc>
        <w:tc>
          <w:tcPr>
            <w:tcW w:w="7756" w:type="dxa"/>
            <w:gridSpan w:val="7"/>
          </w:tcPr>
          <w:p w14:paraId="28E09D2A" w14:textId="2EDDD3BF" w:rsidR="006571CA" w:rsidRPr="00042D4E" w:rsidRDefault="006571CA" w:rsidP="006571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FA7">
              <w:rPr>
                <w:rFonts w:ascii="Times New Roman" w:hAnsi="Times New Roman" w:cs="Times New Roman"/>
                <w:sz w:val="24"/>
                <w:szCs w:val="24"/>
              </w:rPr>
              <w:t>DIAGNÓSTICO MOLECULAR PARA BACTERIAS Y HONGOS</w:t>
            </w:r>
          </w:p>
        </w:tc>
      </w:tr>
      <w:tr w:rsidR="00F26690" w:rsidRPr="00977D3E" w14:paraId="48C55C41" w14:textId="77777777" w:rsidTr="00E4728F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394371F" w14:textId="77777777" w:rsidR="00F26690" w:rsidRPr="00042D4E" w:rsidRDefault="00F26690" w:rsidP="00596D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D4E">
              <w:rPr>
                <w:rFonts w:ascii="Times New Roman" w:hAnsi="Times New Roman" w:cs="Times New Roman"/>
                <w:b/>
                <w:sz w:val="20"/>
                <w:szCs w:val="20"/>
              </w:rPr>
              <w:t>TEMA DE LA PRÁCTICA</w:t>
            </w:r>
          </w:p>
        </w:tc>
        <w:tc>
          <w:tcPr>
            <w:tcW w:w="7756" w:type="dxa"/>
            <w:gridSpan w:val="7"/>
            <w:vAlign w:val="center"/>
          </w:tcPr>
          <w:p w14:paraId="1957C9D4" w14:textId="77777777" w:rsidR="00FD6D47" w:rsidRPr="00FD6D47" w:rsidRDefault="00FD6D47" w:rsidP="00FD6D47">
            <w:pPr>
              <w:spacing w:after="0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</w:rPr>
            </w:pPr>
            <w:r w:rsidRPr="00FD6D4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</w:rPr>
              <w:t>Diagnóstico molecular de micosis de interés clínico</w:t>
            </w:r>
          </w:p>
          <w:p w14:paraId="1F317E42" w14:textId="57E69325" w:rsidR="00F26690" w:rsidRPr="00042D4E" w:rsidRDefault="00FD6D47" w:rsidP="00FD6D47">
            <w:pPr>
              <w:spacing w:after="0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</w:rPr>
            </w:pPr>
            <w:r w:rsidRPr="00FD6D4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</w:rPr>
              <w:t>Protocolo de diagnostico</w:t>
            </w:r>
          </w:p>
        </w:tc>
      </w:tr>
      <w:tr w:rsidR="00F26690" w:rsidRPr="00977D3E" w14:paraId="34E1AB9F" w14:textId="77777777" w:rsidTr="00E4728F">
        <w:tc>
          <w:tcPr>
            <w:tcW w:w="10445" w:type="dxa"/>
            <w:gridSpan w:val="8"/>
            <w:vAlign w:val="center"/>
          </w:tcPr>
          <w:p w14:paraId="47EEF2B4" w14:textId="77777777" w:rsidR="00F26690" w:rsidRPr="00042D4E" w:rsidRDefault="00F26690" w:rsidP="00596DC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D4E">
              <w:rPr>
                <w:rFonts w:ascii="Times New Roman" w:hAnsi="Times New Roman" w:cs="Times New Roman"/>
                <w:b/>
                <w:sz w:val="20"/>
                <w:szCs w:val="20"/>
              </w:rPr>
              <w:t>RESULTADO DE APRENDIZAJE.</w:t>
            </w:r>
          </w:p>
        </w:tc>
      </w:tr>
      <w:tr w:rsidR="00F26690" w:rsidRPr="00977D3E" w14:paraId="6EFF661A" w14:textId="77777777" w:rsidTr="00E4728F">
        <w:tc>
          <w:tcPr>
            <w:tcW w:w="10445" w:type="dxa"/>
            <w:gridSpan w:val="8"/>
            <w:vAlign w:val="center"/>
          </w:tcPr>
          <w:p w14:paraId="1F287AE5" w14:textId="34D1FDD2" w:rsidR="00F26690" w:rsidRPr="00042D4E" w:rsidRDefault="00FD6D47" w:rsidP="00596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6D47">
              <w:rPr>
                <w:rFonts w:ascii="Times New Roman" w:hAnsi="Times New Roman" w:cs="Times New Roman"/>
                <w:bCs/>
                <w:sz w:val="20"/>
                <w:szCs w:val="20"/>
              </w:rPr>
              <w:t>Aplica los principios de las técnicas de la biología molecular mediante el uso apropiado de protocolos probados, con la finalidad de ser útil en el diagnóstico de enfermedades microbianas.</w:t>
            </w:r>
          </w:p>
        </w:tc>
      </w:tr>
      <w:tr w:rsidR="00F26690" w:rsidRPr="00977D3E" w14:paraId="17390EB6" w14:textId="77777777" w:rsidTr="00E4728F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6FCD527" w14:textId="77777777" w:rsidR="00F26690" w:rsidRPr="00042D4E" w:rsidRDefault="00F26690" w:rsidP="00596D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D4E">
              <w:rPr>
                <w:rFonts w:ascii="Times New Roman" w:hAnsi="Times New Roman" w:cs="Times New Roman"/>
                <w:b/>
                <w:sz w:val="20"/>
                <w:szCs w:val="20"/>
              </w:rPr>
              <w:t>OBJETIVO GENERAL</w:t>
            </w:r>
          </w:p>
        </w:tc>
        <w:tc>
          <w:tcPr>
            <w:tcW w:w="7756" w:type="dxa"/>
            <w:gridSpan w:val="7"/>
          </w:tcPr>
          <w:p w14:paraId="3C8A0D9D" w14:textId="5E91F9B0" w:rsidR="00F26690" w:rsidRPr="00042D4E" w:rsidRDefault="00A536DC" w:rsidP="00596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6DC">
              <w:rPr>
                <w:rFonts w:ascii="Times New Roman" w:hAnsi="Times New Roman" w:cs="Times New Roman"/>
                <w:sz w:val="20"/>
                <w:szCs w:val="20"/>
              </w:rPr>
              <w:t xml:space="preserve">Aplicar una técnica de diagnóstico molecular en enfermedades </w:t>
            </w:r>
            <w:r w:rsidR="00C9797A">
              <w:rPr>
                <w:rFonts w:ascii="Times New Roman" w:hAnsi="Times New Roman" w:cs="Times New Roman"/>
                <w:sz w:val="20"/>
                <w:szCs w:val="20"/>
              </w:rPr>
              <w:t>micóticas</w:t>
            </w:r>
          </w:p>
        </w:tc>
      </w:tr>
      <w:tr w:rsidR="00F26690" w:rsidRPr="00977D3E" w14:paraId="38E89C0A" w14:textId="77777777" w:rsidTr="00E4728F">
        <w:tc>
          <w:tcPr>
            <w:tcW w:w="10445" w:type="dxa"/>
            <w:gridSpan w:val="8"/>
            <w:shd w:val="clear" w:color="auto" w:fill="F2F2F2" w:themeFill="background1" w:themeFillShade="F2"/>
            <w:vAlign w:val="center"/>
          </w:tcPr>
          <w:p w14:paraId="02F62B52" w14:textId="04087832" w:rsidR="00F26690" w:rsidRPr="00042D4E" w:rsidRDefault="00F26690" w:rsidP="00596DC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42D4E">
              <w:rPr>
                <w:rFonts w:ascii="Times New Roman" w:hAnsi="Times New Roman" w:cs="Times New Roman"/>
                <w:b/>
                <w:bCs/>
              </w:rPr>
              <w:t>OBJETIVOS ESPEC</w:t>
            </w:r>
            <w:r w:rsidR="00E23687">
              <w:rPr>
                <w:rFonts w:ascii="Times New Roman" w:hAnsi="Times New Roman" w:cs="Times New Roman"/>
                <w:b/>
                <w:bCs/>
              </w:rPr>
              <w:t>Í</w:t>
            </w:r>
            <w:r w:rsidRPr="00042D4E">
              <w:rPr>
                <w:rFonts w:ascii="Times New Roman" w:hAnsi="Times New Roman" w:cs="Times New Roman"/>
                <w:b/>
                <w:bCs/>
              </w:rPr>
              <w:t>FICOS:</w:t>
            </w:r>
          </w:p>
        </w:tc>
      </w:tr>
      <w:tr w:rsidR="00F26690" w:rsidRPr="00977D3E" w14:paraId="5FBE4B98" w14:textId="77777777" w:rsidTr="00E4728F">
        <w:tc>
          <w:tcPr>
            <w:tcW w:w="10445" w:type="dxa"/>
            <w:gridSpan w:val="8"/>
          </w:tcPr>
          <w:p w14:paraId="4EB70EC4" w14:textId="7DCE2787" w:rsidR="00C83D83" w:rsidRPr="00C81902" w:rsidRDefault="00C83D83" w:rsidP="00C8190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1902">
              <w:rPr>
                <w:rFonts w:ascii="Times New Roman" w:hAnsi="Times New Roman" w:cs="Times New Roman"/>
                <w:bCs/>
                <w:sz w:val="20"/>
                <w:szCs w:val="20"/>
              </w:rPr>
              <w:t>Desarrollar la técnica</w:t>
            </w:r>
            <w:r w:rsidR="00A536DC" w:rsidRPr="00C819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81902">
              <w:rPr>
                <w:rFonts w:ascii="Times New Roman" w:hAnsi="Times New Roman" w:cs="Times New Roman"/>
                <w:bCs/>
                <w:sz w:val="20"/>
                <w:szCs w:val="20"/>
              </w:rPr>
              <w:t>PCR para el diagnóstico molecular</w:t>
            </w:r>
          </w:p>
        </w:tc>
      </w:tr>
      <w:tr w:rsidR="00F26690" w:rsidRPr="00977D3E" w14:paraId="6229B48A" w14:textId="77777777" w:rsidTr="00E4728F">
        <w:tc>
          <w:tcPr>
            <w:tcW w:w="10445" w:type="dxa"/>
            <w:gridSpan w:val="8"/>
            <w:shd w:val="clear" w:color="auto" w:fill="F2F2F2" w:themeFill="background1" w:themeFillShade="F2"/>
          </w:tcPr>
          <w:p w14:paraId="2266F09E" w14:textId="77777777" w:rsidR="00F26690" w:rsidRPr="00042D4E" w:rsidRDefault="00F26690" w:rsidP="00596D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D4E">
              <w:rPr>
                <w:rFonts w:ascii="Times New Roman" w:hAnsi="Times New Roman" w:cs="Times New Roman"/>
                <w:b/>
                <w:sz w:val="20"/>
                <w:szCs w:val="20"/>
              </w:rPr>
              <w:t>MARCO TEÓRICO</w:t>
            </w:r>
          </w:p>
        </w:tc>
      </w:tr>
      <w:tr w:rsidR="00F26690" w:rsidRPr="00D60F0B" w14:paraId="1A7990B5" w14:textId="77777777" w:rsidTr="00D60F0B">
        <w:trPr>
          <w:trHeight w:val="104"/>
        </w:trPr>
        <w:tc>
          <w:tcPr>
            <w:tcW w:w="10445" w:type="dxa"/>
            <w:gridSpan w:val="8"/>
            <w:shd w:val="clear" w:color="auto" w:fill="auto"/>
          </w:tcPr>
          <w:p w14:paraId="74FFF57C" w14:textId="3A303891" w:rsidR="004D24BF" w:rsidRPr="00D60F0B" w:rsidRDefault="004D24BF" w:rsidP="00D60F0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6690" w:rsidRPr="00977D3E" w14:paraId="22D48E8D" w14:textId="77777777" w:rsidTr="00E4728F">
        <w:trPr>
          <w:trHeight w:val="326"/>
        </w:trPr>
        <w:tc>
          <w:tcPr>
            <w:tcW w:w="10445" w:type="dxa"/>
            <w:gridSpan w:val="8"/>
          </w:tcPr>
          <w:p w14:paraId="07BC2863" w14:textId="1896BFC8" w:rsidR="005D0F4E" w:rsidRDefault="005D0F4E" w:rsidP="00C81902">
            <w:pPr>
              <w:tabs>
                <w:tab w:val="left" w:pos="1155"/>
              </w:tabs>
              <w:spacing w:line="360" w:lineRule="auto"/>
              <w:jc w:val="both"/>
            </w:pPr>
            <w:r>
              <w:t xml:space="preserve">El género </w:t>
            </w:r>
            <w:r w:rsidR="00571B81">
              <w:t>Cándida</w:t>
            </w:r>
            <w:r>
              <w:t xml:space="preserve"> está constituido por diversas especies potencialmente causantes de candidiasis, una micosis de expresión clínica variable (infección superficial, mucocutánea e invasiva) cuya frecuencia ha aumentado en las tres últimas décadas debido al incremento de los factores de riesgo en los pacientes inmunocomprometidos.</w:t>
            </w:r>
          </w:p>
          <w:p w14:paraId="7BE2B521" w14:textId="5A499655" w:rsidR="005D0F4E" w:rsidRDefault="005D0F4E" w:rsidP="00C81902">
            <w:pPr>
              <w:tabs>
                <w:tab w:val="left" w:pos="1155"/>
              </w:tabs>
              <w:spacing w:line="360" w:lineRule="auto"/>
              <w:jc w:val="both"/>
            </w:pPr>
            <w:r>
              <w:t xml:space="preserve">La candidiasis invasiva es la infección nosocomial de origen fúngico más importante por su frecuencia y gravedad, con índices de letalidad ≥ 40%. Los principales factores de oportunismo ligados a esta infección incluyen la diabetes mellitus, la infección por el virus de la inmunodeficiencia humana (VIH)-sida, la fiebre asociada a neutropenia, las </w:t>
            </w:r>
            <w:r>
              <w:lastRenderedPageBreak/>
              <w:t>neoplasias, la instalación prolongada de catéteres venosos o urinarios, las válvulas cardíacas, el uso prolongado de esteroides, de antibióticos de amplio espectro y de inmunosupresores, la cirugía y el trasplante de órganos sólidos.</w:t>
            </w:r>
          </w:p>
          <w:p w14:paraId="5D4148A6" w14:textId="394E8F00" w:rsidR="005D0F4E" w:rsidRDefault="005D0F4E" w:rsidP="00C81902">
            <w:pPr>
              <w:tabs>
                <w:tab w:val="left" w:pos="1155"/>
              </w:tabs>
              <w:spacing w:line="360" w:lineRule="auto"/>
              <w:jc w:val="both"/>
            </w:pPr>
            <w:r>
              <w:t xml:space="preserve">Entre las más de 150 especies de </w:t>
            </w:r>
            <w:proofErr w:type="spellStart"/>
            <w:r>
              <w:t>Candida</w:t>
            </w:r>
            <w:proofErr w:type="spellEnd"/>
            <w:r>
              <w:t xml:space="preserve"> descritas, solo alrededor de 15 han sido aisladas de pacientes como agentes de infección. </w:t>
            </w:r>
            <w:proofErr w:type="spellStart"/>
            <w:r w:rsidRPr="00411074">
              <w:rPr>
                <w:i/>
                <w:iCs/>
              </w:rPr>
              <w:t>Candida</w:t>
            </w:r>
            <w:proofErr w:type="spellEnd"/>
            <w:r w:rsidRPr="00411074">
              <w:rPr>
                <w:i/>
                <w:iCs/>
              </w:rPr>
              <w:t xml:space="preserve"> </w:t>
            </w:r>
            <w:proofErr w:type="spellStart"/>
            <w:r w:rsidRPr="00411074">
              <w:rPr>
                <w:i/>
                <w:iCs/>
              </w:rPr>
              <w:t>albicans</w:t>
            </w:r>
            <w:proofErr w:type="spellEnd"/>
            <w:r>
              <w:t xml:space="preserve"> permanece como el agente más común de infecciones nosocomiales, seguido de </w:t>
            </w:r>
            <w:proofErr w:type="spellStart"/>
            <w:r w:rsidRPr="00411074">
              <w:rPr>
                <w:i/>
                <w:iCs/>
              </w:rPr>
              <w:t>Candida</w:t>
            </w:r>
            <w:proofErr w:type="spellEnd"/>
            <w:r w:rsidRPr="00411074">
              <w:rPr>
                <w:i/>
                <w:iCs/>
              </w:rPr>
              <w:t xml:space="preserve"> </w:t>
            </w:r>
            <w:proofErr w:type="spellStart"/>
            <w:r w:rsidRPr="00411074">
              <w:rPr>
                <w:i/>
                <w:iCs/>
              </w:rPr>
              <w:t>tropicalis</w:t>
            </w:r>
            <w:proofErr w:type="spellEnd"/>
            <w:r>
              <w:t xml:space="preserve">, </w:t>
            </w:r>
            <w:proofErr w:type="spellStart"/>
            <w:r w:rsidRPr="00411074">
              <w:rPr>
                <w:i/>
                <w:iCs/>
              </w:rPr>
              <w:t>Candida</w:t>
            </w:r>
            <w:proofErr w:type="spellEnd"/>
            <w:r w:rsidRPr="00411074">
              <w:rPr>
                <w:i/>
                <w:iCs/>
              </w:rPr>
              <w:t xml:space="preserve"> </w:t>
            </w:r>
            <w:proofErr w:type="spellStart"/>
            <w:r w:rsidRPr="00411074">
              <w:rPr>
                <w:i/>
                <w:iCs/>
              </w:rPr>
              <w:t>parapsilosis</w:t>
            </w:r>
            <w:proofErr w:type="spellEnd"/>
            <w:r>
              <w:t xml:space="preserve">, </w:t>
            </w:r>
            <w:proofErr w:type="spellStart"/>
            <w:r w:rsidRPr="00411074">
              <w:rPr>
                <w:i/>
                <w:iCs/>
              </w:rPr>
              <w:t>Candida</w:t>
            </w:r>
            <w:proofErr w:type="spellEnd"/>
            <w:r w:rsidRPr="00411074">
              <w:rPr>
                <w:i/>
                <w:iCs/>
              </w:rPr>
              <w:t xml:space="preserve"> </w:t>
            </w:r>
            <w:proofErr w:type="spellStart"/>
            <w:r w:rsidRPr="00411074">
              <w:rPr>
                <w:i/>
                <w:iCs/>
              </w:rPr>
              <w:t>glabrata</w:t>
            </w:r>
            <w:proofErr w:type="spellEnd"/>
            <w:r>
              <w:t xml:space="preserve"> y </w:t>
            </w:r>
            <w:proofErr w:type="spellStart"/>
            <w:r w:rsidRPr="00411074">
              <w:rPr>
                <w:i/>
                <w:iCs/>
              </w:rPr>
              <w:t>Candida</w:t>
            </w:r>
            <w:proofErr w:type="spellEnd"/>
            <w:r w:rsidRPr="00411074">
              <w:rPr>
                <w:i/>
                <w:iCs/>
              </w:rPr>
              <w:t xml:space="preserve"> </w:t>
            </w:r>
            <w:proofErr w:type="spellStart"/>
            <w:r w:rsidRPr="00411074">
              <w:rPr>
                <w:i/>
                <w:iCs/>
              </w:rPr>
              <w:t>krusei</w:t>
            </w:r>
            <w:proofErr w:type="spellEnd"/>
            <w:r>
              <w:t>. La importancia de identificar las especies fúngicas involucradas en la infección radica en que algunas de ellas presentan resistencia innata a algunos antifúngicos</w:t>
            </w:r>
            <w:r w:rsidR="00411074">
              <w:t>.</w:t>
            </w:r>
          </w:p>
          <w:p w14:paraId="29D9C7D9" w14:textId="707B88CA" w:rsidR="00C639CD" w:rsidRPr="00C639CD" w:rsidRDefault="005D0F4E" w:rsidP="00C81902">
            <w:pPr>
              <w:tabs>
                <w:tab w:val="left" w:pos="1155"/>
              </w:tabs>
              <w:spacing w:line="360" w:lineRule="auto"/>
              <w:jc w:val="both"/>
            </w:pPr>
            <w:r>
              <w:t>El diagnóstico de la candidiasis invasiva es difícil</w:t>
            </w:r>
            <w:r w:rsidR="00870EF9">
              <w:t xml:space="preserve"> </w:t>
            </w:r>
            <w:r>
              <w:t>debido a que los signos y síntomas son inespecíficos,</w:t>
            </w:r>
            <w:r w:rsidR="00870EF9">
              <w:t xml:space="preserve"> </w:t>
            </w:r>
            <w:r>
              <w:t>así como al hecho de que estas levaduras oportunistas son comensales principalmente de las mucosas</w:t>
            </w:r>
            <w:r w:rsidR="00870EF9">
              <w:t xml:space="preserve"> </w:t>
            </w:r>
            <w:r>
              <w:t>en el humano</w:t>
            </w:r>
          </w:p>
        </w:tc>
      </w:tr>
      <w:tr w:rsidR="00F26690" w:rsidRPr="00977D3E" w14:paraId="33D40480" w14:textId="77777777" w:rsidTr="00E4728F">
        <w:tc>
          <w:tcPr>
            <w:tcW w:w="10445" w:type="dxa"/>
            <w:gridSpan w:val="8"/>
            <w:shd w:val="clear" w:color="auto" w:fill="F2F2F2" w:themeFill="background1" w:themeFillShade="F2"/>
          </w:tcPr>
          <w:p w14:paraId="4F6D6BF9" w14:textId="77777777" w:rsidR="00F26690" w:rsidRPr="00977D3E" w:rsidRDefault="00F26690" w:rsidP="00596DC7">
            <w:pPr>
              <w:spacing w:after="0"/>
              <w:jc w:val="both"/>
              <w:textAlignment w:val="baseline"/>
              <w:rPr>
                <w:rFonts w:cs="Times New Roman"/>
                <w:b/>
                <w:sz w:val="20"/>
                <w:szCs w:val="20"/>
              </w:rPr>
            </w:pPr>
            <w:r w:rsidRPr="00977D3E">
              <w:rPr>
                <w:rFonts w:cs="Times New Roman"/>
                <w:b/>
                <w:sz w:val="20"/>
                <w:szCs w:val="20"/>
              </w:rPr>
              <w:lastRenderedPageBreak/>
              <w:t>MATERIALES Y MÉTODOS</w:t>
            </w:r>
          </w:p>
        </w:tc>
      </w:tr>
      <w:tr w:rsidR="00F26690" w:rsidRPr="00977D3E" w14:paraId="0777A222" w14:textId="77777777" w:rsidTr="00E4728F">
        <w:tc>
          <w:tcPr>
            <w:tcW w:w="2689" w:type="dxa"/>
            <w:vAlign w:val="center"/>
          </w:tcPr>
          <w:p w14:paraId="67BD828E" w14:textId="77777777" w:rsidR="00F26690" w:rsidRPr="00977D3E" w:rsidRDefault="00F26690" w:rsidP="00596DC7">
            <w:pPr>
              <w:spacing w:after="0"/>
              <w:jc w:val="center"/>
              <w:textAlignment w:val="baseline"/>
              <w:rPr>
                <w:rFonts w:cs="Times New Roman"/>
                <w:b/>
                <w:sz w:val="20"/>
                <w:szCs w:val="20"/>
              </w:rPr>
            </w:pPr>
            <w:r w:rsidRPr="00977D3E">
              <w:rPr>
                <w:rFonts w:cs="Times New Roman"/>
                <w:b/>
                <w:sz w:val="20"/>
                <w:szCs w:val="20"/>
              </w:rPr>
              <w:t>Equipos</w:t>
            </w:r>
          </w:p>
        </w:tc>
        <w:tc>
          <w:tcPr>
            <w:tcW w:w="2326" w:type="dxa"/>
            <w:gridSpan w:val="2"/>
            <w:vAlign w:val="center"/>
          </w:tcPr>
          <w:p w14:paraId="6C467C8A" w14:textId="77777777" w:rsidR="00F26690" w:rsidRPr="00977D3E" w:rsidRDefault="00F26690" w:rsidP="00596DC7">
            <w:pPr>
              <w:spacing w:after="0"/>
              <w:jc w:val="center"/>
              <w:textAlignment w:val="baseline"/>
              <w:rPr>
                <w:rFonts w:cs="Times New Roman"/>
                <w:b/>
                <w:sz w:val="20"/>
                <w:szCs w:val="20"/>
              </w:rPr>
            </w:pPr>
            <w:r w:rsidRPr="00977D3E">
              <w:rPr>
                <w:rFonts w:cs="Times New Roman"/>
                <w:b/>
                <w:sz w:val="20"/>
                <w:szCs w:val="20"/>
              </w:rPr>
              <w:t>Materiales</w:t>
            </w:r>
          </w:p>
        </w:tc>
        <w:tc>
          <w:tcPr>
            <w:tcW w:w="5430" w:type="dxa"/>
            <w:gridSpan w:val="5"/>
            <w:vAlign w:val="center"/>
          </w:tcPr>
          <w:p w14:paraId="6724BD1B" w14:textId="77777777" w:rsidR="00F26690" w:rsidRPr="00977D3E" w:rsidRDefault="00F26690" w:rsidP="00596DC7">
            <w:pPr>
              <w:spacing w:after="0"/>
              <w:jc w:val="center"/>
              <w:textAlignment w:val="baseline"/>
              <w:rPr>
                <w:rFonts w:cs="Times New Roman"/>
                <w:b/>
                <w:sz w:val="20"/>
                <w:szCs w:val="20"/>
              </w:rPr>
            </w:pPr>
            <w:r w:rsidRPr="00977D3E">
              <w:rPr>
                <w:rFonts w:cs="Times New Roman"/>
                <w:b/>
                <w:sz w:val="20"/>
                <w:szCs w:val="20"/>
              </w:rPr>
              <w:t>Reactivos</w:t>
            </w:r>
          </w:p>
        </w:tc>
      </w:tr>
      <w:tr w:rsidR="000F6BD0" w:rsidRPr="00977D3E" w14:paraId="466F4A29" w14:textId="77777777" w:rsidTr="00E4728F">
        <w:tc>
          <w:tcPr>
            <w:tcW w:w="2689" w:type="dxa"/>
          </w:tcPr>
          <w:p w14:paraId="134F5529" w14:textId="77777777" w:rsidR="000F6BD0" w:rsidRPr="00A63DD0" w:rsidRDefault="000F6BD0" w:rsidP="000F6BD0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63DD0">
              <w:rPr>
                <w:rFonts w:ascii="Times New Roman" w:hAnsi="Times New Roman" w:cs="Times New Roman"/>
              </w:rPr>
              <w:t>Termociclador</w:t>
            </w:r>
          </w:p>
          <w:p w14:paraId="6582CF9F" w14:textId="77777777" w:rsidR="000F6BD0" w:rsidRPr="00A63DD0" w:rsidRDefault="000F6BD0" w:rsidP="000F6BD0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A63DD0">
              <w:rPr>
                <w:rFonts w:ascii="Times New Roman" w:hAnsi="Times New Roman" w:cs="Times New Roman"/>
              </w:rPr>
              <w:t>Vortex</w:t>
            </w:r>
            <w:proofErr w:type="spellEnd"/>
          </w:p>
          <w:p w14:paraId="6663FCC6" w14:textId="77777777" w:rsidR="000F6BD0" w:rsidRPr="00A63DD0" w:rsidRDefault="000F6BD0" w:rsidP="000F6BD0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63DD0">
              <w:rPr>
                <w:rFonts w:ascii="Times New Roman" w:hAnsi="Times New Roman" w:cs="Times New Roman"/>
              </w:rPr>
              <w:t>Micropipetas de 2, 20, 100 y 200 µl,</w:t>
            </w:r>
          </w:p>
          <w:p w14:paraId="24E514FE" w14:textId="77777777" w:rsidR="000F6BD0" w:rsidRPr="00A63DD0" w:rsidRDefault="000F6BD0" w:rsidP="000F6BD0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63DD0">
              <w:rPr>
                <w:rFonts w:ascii="Times New Roman" w:hAnsi="Times New Roman" w:cs="Times New Roman"/>
              </w:rPr>
              <w:t>Microcentrífuga</w:t>
            </w:r>
          </w:p>
          <w:p w14:paraId="1393A65B" w14:textId="03631EAE" w:rsidR="000F6BD0" w:rsidRPr="00A61A46" w:rsidRDefault="000F6BD0" w:rsidP="000F6BD0">
            <w:pPr>
              <w:spacing w:after="0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proofErr w:type="spellStart"/>
            <w:r w:rsidRPr="00A61A46">
              <w:rPr>
                <w:rFonts w:ascii="Times New Roman" w:hAnsi="Times New Roman" w:cs="Times New Roman"/>
              </w:rPr>
              <w:t>Fotodocumentador</w:t>
            </w:r>
            <w:proofErr w:type="spellEnd"/>
          </w:p>
        </w:tc>
        <w:tc>
          <w:tcPr>
            <w:tcW w:w="2326" w:type="dxa"/>
            <w:gridSpan w:val="2"/>
          </w:tcPr>
          <w:p w14:paraId="0C9CBADA" w14:textId="77777777" w:rsidR="000F6BD0" w:rsidRPr="00A63DD0" w:rsidRDefault="000F6BD0" w:rsidP="000F6BD0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63DD0">
              <w:rPr>
                <w:rFonts w:ascii="Times New Roman" w:hAnsi="Times New Roman" w:cs="Times New Roman"/>
              </w:rPr>
              <w:t>Guantes desechables de látex, vinil o nitrilo</w:t>
            </w:r>
          </w:p>
          <w:p w14:paraId="73B8F52A" w14:textId="77777777" w:rsidR="000F6BD0" w:rsidRPr="00A63DD0" w:rsidRDefault="000F6BD0" w:rsidP="000F6BD0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63DD0">
              <w:rPr>
                <w:rFonts w:ascii="Times New Roman" w:hAnsi="Times New Roman" w:cs="Times New Roman"/>
              </w:rPr>
              <w:t>Tubos para PCR</w:t>
            </w:r>
          </w:p>
          <w:p w14:paraId="19A24066" w14:textId="77777777" w:rsidR="000F6BD0" w:rsidRPr="00A63DD0" w:rsidRDefault="000F6BD0" w:rsidP="000F6BD0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63DD0">
              <w:rPr>
                <w:rFonts w:ascii="Times New Roman" w:hAnsi="Times New Roman" w:cs="Times New Roman"/>
              </w:rPr>
              <w:t>Puntas para micropipetas</w:t>
            </w:r>
          </w:p>
          <w:p w14:paraId="008D5184" w14:textId="77777777" w:rsidR="000F6BD0" w:rsidRPr="00A63DD0" w:rsidRDefault="000F6BD0" w:rsidP="000F6BD0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63DD0">
              <w:rPr>
                <w:rFonts w:ascii="Times New Roman" w:hAnsi="Times New Roman" w:cs="Times New Roman"/>
              </w:rPr>
              <w:t>Baño de hielo</w:t>
            </w:r>
          </w:p>
          <w:p w14:paraId="2261A6C9" w14:textId="487CDADE" w:rsidR="000F6BD0" w:rsidRPr="00977D3E" w:rsidRDefault="000F6BD0" w:rsidP="000F6BD0">
            <w:pPr>
              <w:spacing w:after="0" w:line="240" w:lineRule="auto"/>
            </w:pPr>
            <w:r w:rsidRPr="00A61A46">
              <w:rPr>
                <w:rFonts w:ascii="Times New Roman" w:hAnsi="Times New Roman" w:cs="Times New Roman"/>
              </w:rPr>
              <w:t>Gradilla</w:t>
            </w:r>
          </w:p>
        </w:tc>
        <w:tc>
          <w:tcPr>
            <w:tcW w:w="5430" w:type="dxa"/>
            <w:gridSpan w:val="5"/>
          </w:tcPr>
          <w:p w14:paraId="78E54D0A" w14:textId="77777777" w:rsidR="000F6BD0" w:rsidRPr="00A63DD0" w:rsidRDefault="000F6BD0" w:rsidP="000F6BD0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63DD0">
              <w:rPr>
                <w:rFonts w:ascii="Times New Roman" w:hAnsi="Times New Roman" w:cs="Times New Roman"/>
              </w:rPr>
              <w:t>Muestra de ADN que contenga la región(es) que se desea amplificar</w:t>
            </w:r>
          </w:p>
          <w:p w14:paraId="0FC96E80" w14:textId="77777777" w:rsidR="000F6BD0" w:rsidRPr="00A63DD0" w:rsidRDefault="000F6BD0" w:rsidP="000F6BD0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63DD0">
              <w:rPr>
                <w:rFonts w:ascii="Times New Roman" w:hAnsi="Times New Roman" w:cs="Times New Roman"/>
              </w:rPr>
              <w:t>Buffer o solución amortiguadora</w:t>
            </w:r>
          </w:p>
          <w:p w14:paraId="3DA0CD56" w14:textId="77777777" w:rsidR="000F6BD0" w:rsidRPr="00A63DD0" w:rsidRDefault="000F6BD0" w:rsidP="000F6BD0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63DD0">
              <w:rPr>
                <w:rFonts w:ascii="Times New Roman" w:hAnsi="Times New Roman" w:cs="Times New Roman"/>
              </w:rPr>
              <w:t>Cloruro de Magnesio (MgCl2)</w:t>
            </w:r>
          </w:p>
          <w:p w14:paraId="5CF235DB" w14:textId="77777777" w:rsidR="000F6BD0" w:rsidRPr="00A63DD0" w:rsidRDefault="000F6BD0" w:rsidP="000F6BD0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 w:rsidRPr="00A63DD0">
              <w:rPr>
                <w:rFonts w:ascii="Times New Roman" w:hAnsi="Times New Roman" w:cs="Times New Roman"/>
              </w:rPr>
              <w:t>Desoxirribonucleótidos trifosfato</w:t>
            </w:r>
            <w:proofErr w:type="gramEnd"/>
            <w:r w:rsidRPr="00A63DD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63DD0">
              <w:rPr>
                <w:rFonts w:ascii="Times New Roman" w:hAnsi="Times New Roman" w:cs="Times New Roman"/>
              </w:rPr>
              <w:t>dNTPs</w:t>
            </w:r>
            <w:proofErr w:type="spellEnd"/>
            <w:r w:rsidRPr="00A63DD0">
              <w:rPr>
                <w:rFonts w:ascii="Times New Roman" w:hAnsi="Times New Roman" w:cs="Times New Roman"/>
              </w:rPr>
              <w:t>)</w:t>
            </w:r>
          </w:p>
          <w:p w14:paraId="5308F5B0" w14:textId="77777777" w:rsidR="000F6BD0" w:rsidRPr="00A63DD0" w:rsidRDefault="000F6BD0" w:rsidP="000F6BD0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63DD0">
              <w:rPr>
                <w:rFonts w:ascii="Times New Roman" w:hAnsi="Times New Roman" w:cs="Times New Roman"/>
              </w:rPr>
              <w:t>Iniciadores</w:t>
            </w:r>
          </w:p>
          <w:p w14:paraId="19C646B1" w14:textId="77777777" w:rsidR="000F6BD0" w:rsidRPr="00A63DD0" w:rsidRDefault="000F6BD0" w:rsidP="000F6BD0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A63DD0">
              <w:rPr>
                <w:rFonts w:ascii="Times New Roman" w:hAnsi="Times New Roman" w:cs="Times New Roman"/>
              </w:rPr>
              <w:t>Taq</w:t>
            </w:r>
            <w:proofErr w:type="spellEnd"/>
            <w:r w:rsidRPr="00A63DD0">
              <w:rPr>
                <w:rFonts w:ascii="Times New Roman" w:hAnsi="Times New Roman" w:cs="Times New Roman"/>
              </w:rPr>
              <w:t xml:space="preserve"> polimerasa</w:t>
            </w:r>
          </w:p>
          <w:p w14:paraId="17482990" w14:textId="6692C166" w:rsidR="000F6BD0" w:rsidRPr="000F6BD0" w:rsidRDefault="000F6BD0" w:rsidP="000F6BD0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0F6BD0">
              <w:rPr>
                <w:rFonts w:ascii="Times New Roman" w:hAnsi="Times New Roman" w:cs="Times New Roman"/>
              </w:rPr>
              <w:t>Agua ultrapura</w:t>
            </w:r>
          </w:p>
        </w:tc>
      </w:tr>
      <w:tr w:rsidR="00F26690" w:rsidRPr="00977D3E" w14:paraId="6FB7FE9D" w14:textId="77777777" w:rsidTr="00E4728F">
        <w:tc>
          <w:tcPr>
            <w:tcW w:w="10445" w:type="dxa"/>
            <w:gridSpan w:val="8"/>
            <w:shd w:val="clear" w:color="auto" w:fill="F2F2F2" w:themeFill="background1" w:themeFillShade="F2"/>
          </w:tcPr>
          <w:p w14:paraId="367CE05C" w14:textId="77777777" w:rsidR="00F26690" w:rsidRPr="00977D3E" w:rsidRDefault="00F26690" w:rsidP="00596DC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77D3E">
              <w:rPr>
                <w:rFonts w:cs="Times New Roman"/>
                <w:b/>
                <w:sz w:val="20"/>
                <w:szCs w:val="20"/>
              </w:rPr>
              <w:t>PROCEDIMIENTO / TÉCNICA:</w:t>
            </w:r>
          </w:p>
        </w:tc>
      </w:tr>
      <w:tr w:rsidR="00F26690" w:rsidRPr="00977D3E" w14:paraId="491240EC" w14:textId="77777777" w:rsidTr="00E4728F">
        <w:tc>
          <w:tcPr>
            <w:tcW w:w="10445" w:type="dxa"/>
            <w:gridSpan w:val="8"/>
          </w:tcPr>
          <w:p w14:paraId="46039A91" w14:textId="77777777" w:rsidR="000F6BD0" w:rsidRPr="000F6BD0" w:rsidRDefault="000F6BD0" w:rsidP="000F6BD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4D773C" w14:textId="77777777" w:rsidR="000F6BD0" w:rsidRPr="000F6BD0" w:rsidRDefault="000F6BD0" w:rsidP="000F6BD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Extraer el ADN con el reactivo </w:t>
            </w:r>
            <w:proofErr w:type="spellStart"/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DNAzol</w:t>
            </w:r>
            <w:proofErr w:type="spellEnd"/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usando 1ml para cada muestra, el procedimiento según practica previamente aplicada</w:t>
            </w:r>
          </w:p>
          <w:p w14:paraId="1DE3E203" w14:textId="77777777" w:rsidR="000F6BD0" w:rsidRPr="000F6BD0" w:rsidRDefault="000F6BD0" w:rsidP="000F6BD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Preparar el master </w:t>
            </w:r>
            <w:proofErr w:type="spellStart"/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mix</w:t>
            </w:r>
            <w:proofErr w:type="spellEnd"/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 la PCR.</w:t>
            </w:r>
          </w:p>
          <w:p w14:paraId="4A623CD2" w14:textId="3E481E4F" w:rsidR="000F6BD0" w:rsidRPr="000F6BD0" w:rsidRDefault="000F6BD0" w:rsidP="000F6BD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Utilizar como cebadores para </w:t>
            </w:r>
            <w:r w:rsidR="00571B81" w:rsidRPr="00571B8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Cándidas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spp</w:t>
            </w:r>
            <w:proofErr w:type="spellEnd"/>
            <w:r w:rsidR="00411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 5’-TCGCATCGATGAAGAACGCAGC-3’ y </w:t>
            </w:r>
            <w:r>
              <w:t xml:space="preserve">R: </w:t>
            </w:r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5’-TCTTTTCCTCCGCTTATTGATATGC-3’</w:t>
            </w:r>
          </w:p>
          <w:p w14:paraId="35C412D1" w14:textId="77777777" w:rsidR="000F6BD0" w:rsidRPr="000F6BD0" w:rsidRDefault="000F6BD0" w:rsidP="000F6BD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129D30" w14:textId="77777777" w:rsidR="000F6BD0" w:rsidRPr="000F6BD0" w:rsidRDefault="000F6BD0" w:rsidP="000F6BD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Agua </w:t>
            </w:r>
            <w:proofErr w:type="spellStart"/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milliQ</w:t>
            </w:r>
            <w:proofErr w:type="spellEnd"/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estéril</w:t>
            </w:r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14,9ul</w:t>
            </w:r>
          </w:p>
          <w:p w14:paraId="6B251C4B" w14:textId="77777777" w:rsidR="000F6BD0" w:rsidRPr="000F6BD0" w:rsidRDefault="000F6BD0" w:rsidP="000F6BD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Buffer 10x (libre de MgCl2) </w:t>
            </w:r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2,5 </w:t>
            </w:r>
            <w:proofErr w:type="spellStart"/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</w:t>
            </w:r>
            <w:proofErr w:type="spellEnd"/>
          </w:p>
          <w:p w14:paraId="09BB4BA1" w14:textId="77777777" w:rsidR="000F6BD0" w:rsidRPr="000F6BD0" w:rsidRDefault="000F6BD0" w:rsidP="000F6BD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MgCl2 25 </w:t>
            </w:r>
            <w:proofErr w:type="spellStart"/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</w:t>
            </w:r>
            <w:proofErr w:type="spellEnd"/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2 </w:t>
            </w:r>
            <w:proofErr w:type="spellStart"/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</w:t>
            </w:r>
            <w:proofErr w:type="spellEnd"/>
          </w:p>
          <w:p w14:paraId="715125FE" w14:textId="77777777" w:rsidR="000F6BD0" w:rsidRPr="000F6BD0" w:rsidRDefault="000F6BD0" w:rsidP="000F6BD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dNTPs</w:t>
            </w:r>
            <w:proofErr w:type="spellEnd"/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2.5 Mm </w:t>
            </w:r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2 </w:t>
            </w:r>
            <w:proofErr w:type="spellStart"/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</w:t>
            </w:r>
            <w:proofErr w:type="spellEnd"/>
          </w:p>
          <w:p w14:paraId="512B7E8E" w14:textId="77777777" w:rsidR="000F6BD0" w:rsidRPr="000F6BD0" w:rsidRDefault="000F6BD0" w:rsidP="000F6BD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Cebador F 10 pmol/</w:t>
            </w:r>
            <w:proofErr w:type="spellStart"/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</w:t>
            </w:r>
            <w:proofErr w:type="spellEnd"/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0,5 </w:t>
            </w:r>
            <w:proofErr w:type="spellStart"/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</w:t>
            </w:r>
            <w:proofErr w:type="spellEnd"/>
          </w:p>
          <w:p w14:paraId="0CA2DC0A" w14:textId="77777777" w:rsidR="000F6BD0" w:rsidRPr="000F6BD0" w:rsidRDefault="000F6BD0" w:rsidP="000F6BD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Cebador R 10 pmol/</w:t>
            </w:r>
            <w:proofErr w:type="spellStart"/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</w:t>
            </w:r>
            <w:proofErr w:type="spellEnd"/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0,5 </w:t>
            </w:r>
            <w:proofErr w:type="spellStart"/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</w:t>
            </w:r>
            <w:proofErr w:type="spellEnd"/>
          </w:p>
          <w:p w14:paraId="5EE025ED" w14:textId="77777777" w:rsidR="000F6BD0" w:rsidRPr="000F6BD0" w:rsidRDefault="000F6BD0" w:rsidP="000F6BD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Taq</w:t>
            </w:r>
            <w:proofErr w:type="spellEnd"/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5U/</w:t>
            </w:r>
            <w:proofErr w:type="spellStart"/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</w:t>
            </w:r>
            <w:proofErr w:type="spellEnd"/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0,1 </w:t>
            </w:r>
            <w:proofErr w:type="spellStart"/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</w:t>
            </w:r>
            <w:proofErr w:type="spellEnd"/>
          </w:p>
          <w:p w14:paraId="581BDB13" w14:textId="77777777" w:rsidR="000F6BD0" w:rsidRPr="000F6BD0" w:rsidRDefault="000F6BD0" w:rsidP="000F6BD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ADN</w:t>
            </w:r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2,5 </w:t>
            </w:r>
            <w:proofErr w:type="spellStart"/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</w:t>
            </w:r>
            <w:proofErr w:type="spellEnd"/>
          </w:p>
          <w:p w14:paraId="3FB049E9" w14:textId="77777777" w:rsidR="000F6BD0" w:rsidRPr="000F6BD0" w:rsidRDefault="000F6BD0" w:rsidP="000F6BD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 programa de 30ciclos del termociclador es el siguiente:</w:t>
            </w:r>
          </w:p>
          <w:p w14:paraId="69103999" w14:textId="61C9EAF5" w:rsidR="000F6BD0" w:rsidRPr="000F6BD0" w:rsidRDefault="000F6BD0" w:rsidP="000F6BD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Desnaturalización inicial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4°C</w:t>
            </w:r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 5 minutos</w:t>
            </w:r>
          </w:p>
          <w:p w14:paraId="2E7E8723" w14:textId="27060694" w:rsidR="000F6BD0" w:rsidRPr="000F6BD0" w:rsidRDefault="000F6BD0" w:rsidP="000F6BD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Desnaturalización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4°C</w:t>
            </w:r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 30 segundos</w:t>
            </w:r>
          </w:p>
          <w:p w14:paraId="47131A6A" w14:textId="04EDEF6E" w:rsidR="000F6BD0" w:rsidRPr="000F6BD0" w:rsidRDefault="000F6BD0" w:rsidP="000F6BD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Hibridación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°C</w:t>
            </w:r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 30 segundos </w:t>
            </w:r>
          </w:p>
          <w:p w14:paraId="42E92009" w14:textId="37070DFA" w:rsidR="000F6BD0" w:rsidRPr="000F6BD0" w:rsidRDefault="000F6BD0" w:rsidP="000F6BD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Extensión 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°C</w:t>
            </w:r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 45 segundos</w:t>
            </w:r>
          </w:p>
          <w:p w14:paraId="047ED6B6" w14:textId="24B00072" w:rsidR="000F6BD0" w:rsidRPr="000F6BD0" w:rsidRDefault="000F6BD0" w:rsidP="000F6BD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Extensión final 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°C</w:t>
            </w:r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 5 minutos</w:t>
            </w:r>
          </w:p>
          <w:p w14:paraId="10FFA4A4" w14:textId="77777777" w:rsidR="000F6BD0" w:rsidRPr="000F6BD0" w:rsidRDefault="000F6BD0" w:rsidP="000F6BD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Colocar 22,5 µL de la mezcla de reacción en cada tubo.</w:t>
            </w:r>
          </w:p>
          <w:p w14:paraId="3A5BD49C" w14:textId="77777777" w:rsidR="000F6BD0" w:rsidRPr="000F6BD0" w:rsidRDefault="000F6BD0" w:rsidP="000F6BD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Agregar 2.5 µL del ADN problema a cada tubo.</w:t>
            </w:r>
          </w:p>
          <w:p w14:paraId="6FF844E1" w14:textId="77777777" w:rsidR="000F6BD0" w:rsidRPr="000F6BD0" w:rsidRDefault="000F6BD0" w:rsidP="000F6BD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Una vez preparadas las mezclas, centrifugar los tubos para eliminar burbujas</w:t>
            </w:r>
          </w:p>
          <w:p w14:paraId="22774E45" w14:textId="77777777" w:rsidR="000F6BD0" w:rsidRPr="000F6BD0" w:rsidRDefault="000F6BD0" w:rsidP="000F6BD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Preparar el equipo y colocar los tubos de reacción.</w:t>
            </w:r>
          </w:p>
          <w:p w14:paraId="56028182" w14:textId="77777777" w:rsidR="000F6BD0" w:rsidRPr="000F6BD0" w:rsidRDefault="000F6BD0" w:rsidP="000F6BD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Ejecutar el programa.</w:t>
            </w:r>
          </w:p>
          <w:p w14:paraId="77A67CE4" w14:textId="392F4D44" w:rsidR="00F26690" w:rsidRPr="00BB257B" w:rsidRDefault="000F6BD0" w:rsidP="000F6BD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 y analizar el resultado en un gel de electroforesis.</w:t>
            </w:r>
          </w:p>
        </w:tc>
      </w:tr>
      <w:tr w:rsidR="00F26690" w:rsidRPr="00977D3E" w14:paraId="3B0C2398" w14:textId="77777777" w:rsidTr="00E4728F">
        <w:tc>
          <w:tcPr>
            <w:tcW w:w="10445" w:type="dxa"/>
            <w:gridSpan w:val="8"/>
            <w:shd w:val="clear" w:color="auto" w:fill="F2F2F2" w:themeFill="background1" w:themeFillShade="F2"/>
          </w:tcPr>
          <w:p w14:paraId="5C516E95" w14:textId="77777777" w:rsidR="00F26690" w:rsidRPr="00977D3E" w:rsidRDefault="00F26690" w:rsidP="00596DC7">
            <w:pPr>
              <w:spacing w:after="0"/>
              <w:jc w:val="both"/>
              <w:textAlignment w:val="baseline"/>
              <w:rPr>
                <w:rFonts w:cs="Times New Roman"/>
                <w:b/>
                <w:sz w:val="20"/>
                <w:szCs w:val="20"/>
              </w:rPr>
            </w:pPr>
            <w:r w:rsidRPr="00977D3E">
              <w:rPr>
                <w:rFonts w:cs="Times New Roman"/>
                <w:b/>
                <w:sz w:val="20"/>
                <w:szCs w:val="20"/>
              </w:rPr>
              <w:lastRenderedPageBreak/>
              <w:t>RESULTADO (Gráficos, cálculos, etc.)</w:t>
            </w:r>
          </w:p>
        </w:tc>
      </w:tr>
      <w:tr w:rsidR="00F26690" w:rsidRPr="00977D3E" w14:paraId="51923F52" w14:textId="77777777" w:rsidTr="00E4728F">
        <w:tc>
          <w:tcPr>
            <w:tcW w:w="10445" w:type="dxa"/>
            <w:gridSpan w:val="8"/>
          </w:tcPr>
          <w:p w14:paraId="5DB25A93" w14:textId="77777777" w:rsidR="00F26690" w:rsidRDefault="009C745B" w:rsidP="009C745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4EC77827" wp14:editId="72FA0582">
                  <wp:extent cx="2199489" cy="2186474"/>
                  <wp:effectExtent l="0" t="0" r="0" b="444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0866" cy="220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3648AE" w14:textId="77777777" w:rsidR="009C745B" w:rsidRDefault="009C745B" w:rsidP="009C745B">
            <w:pPr>
              <w:spacing w:after="0" w:line="240" w:lineRule="auto"/>
              <w:rPr>
                <w:rFonts w:cs="Times New Roman"/>
                <w:sz w:val="20"/>
                <w:szCs w:val="20"/>
                <w:lang w:val="es-ES"/>
              </w:rPr>
            </w:pPr>
            <w:r>
              <w:rPr>
                <w:rFonts w:cs="Times New Roman"/>
                <w:sz w:val="20"/>
                <w:szCs w:val="20"/>
                <w:lang w:val="es-ES"/>
              </w:rPr>
              <w:t xml:space="preserve">Bandas muy tenues por la calidad de la imagen, pero que se consideran positivas </w:t>
            </w:r>
          </w:p>
          <w:p w14:paraId="2E6E1E6E" w14:textId="4B0A60F4" w:rsidR="009C745B" w:rsidRPr="00977D3E" w:rsidRDefault="009C745B" w:rsidP="009C745B">
            <w:pPr>
              <w:spacing w:after="0" w:line="240" w:lineRule="auto"/>
              <w:rPr>
                <w:rFonts w:cs="Times New Roman"/>
                <w:sz w:val="20"/>
                <w:szCs w:val="20"/>
                <w:lang w:val="es-ES"/>
              </w:rPr>
            </w:pPr>
          </w:p>
        </w:tc>
      </w:tr>
      <w:tr w:rsidR="00F26690" w:rsidRPr="00977D3E" w14:paraId="35AC4AB1" w14:textId="77777777" w:rsidTr="00E4728F">
        <w:tc>
          <w:tcPr>
            <w:tcW w:w="10445" w:type="dxa"/>
            <w:gridSpan w:val="8"/>
            <w:shd w:val="clear" w:color="auto" w:fill="F2F2F2" w:themeFill="background1" w:themeFillShade="F2"/>
          </w:tcPr>
          <w:p w14:paraId="72941310" w14:textId="77777777" w:rsidR="00F26690" w:rsidRPr="00977D3E" w:rsidRDefault="00F26690" w:rsidP="00596DC7">
            <w:pPr>
              <w:spacing w:after="0"/>
              <w:jc w:val="both"/>
              <w:textAlignment w:val="baseline"/>
              <w:rPr>
                <w:rFonts w:cs="Times New Roman"/>
                <w:b/>
                <w:sz w:val="20"/>
                <w:szCs w:val="20"/>
              </w:rPr>
            </w:pPr>
            <w:r w:rsidRPr="00977D3E">
              <w:rPr>
                <w:rFonts w:cs="Times New Roman"/>
                <w:b/>
                <w:sz w:val="20"/>
                <w:szCs w:val="20"/>
              </w:rPr>
              <w:t>OBSERVACIONES</w:t>
            </w:r>
          </w:p>
        </w:tc>
      </w:tr>
      <w:tr w:rsidR="00F26690" w:rsidRPr="00977D3E" w14:paraId="42C42665" w14:textId="77777777" w:rsidTr="00E4728F">
        <w:tc>
          <w:tcPr>
            <w:tcW w:w="10445" w:type="dxa"/>
            <w:gridSpan w:val="8"/>
          </w:tcPr>
          <w:p w14:paraId="5E6E2667" w14:textId="72BFE989" w:rsidR="00F26690" w:rsidRPr="00C81902" w:rsidRDefault="00891151" w:rsidP="00C81902">
            <w:pPr>
              <w:spacing w:after="0" w:line="360" w:lineRule="auto"/>
              <w:jc w:val="both"/>
              <w:textAlignment w:val="baseline"/>
              <w:rPr>
                <w:rFonts w:cs="Times New Roman"/>
                <w:bCs/>
                <w:sz w:val="20"/>
                <w:szCs w:val="20"/>
              </w:rPr>
            </w:pPr>
            <w:r w:rsidRPr="009C745B">
              <w:rPr>
                <w:rFonts w:cs="Times New Roman"/>
                <w:bCs/>
                <w:sz w:val="20"/>
                <w:szCs w:val="20"/>
              </w:rPr>
              <w:t xml:space="preserve">La detección por PCR se requiere de una prolija </w:t>
            </w:r>
            <w:r>
              <w:rPr>
                <w:rFonts w:cs="Times New Roman"/>
                <w:bCs/>
                <w:sz w:val="20"/>
                <w:szCs w:val="20"/>
              </w:rPr>
              <w:t xml:space="preserve">estrictez en la preparación de los reactivos con instrumentos bien calibrados para evitar variaciones en cada prueba. Además, las concentraciones deben estar bien precisadas que lograr buenos resultados repetitivos. </w:t>
            </w:r>
          </w:p>
        </w:tc>
      </w:tr>
      <w:tr w:rsidR="00F26690" w:rsidRPr="00977D3E" w14:paraId="2EC4179C" w14:textId="77777777" w:rsidTr="00E4728F">
        <w:tc>
          <w:tcPr>
            <w:tcW w:w="10445" w:type="dxa"/>
            <w:gridSpan w:val="8"/>
            <w:shd w:val="clear" w:color="auto" w:fill="F2F2F2" w:themeFill="background1" w:themeFillShade="F2"/>
          </w:tcPr>
          <w:p w14:paraId="7A01B685" w14:textId="77777777" w:rsidR="00F26690" w:rsidRPr="00977D3E" w:rsidRDefault="00F26690" w:rsidP="00596DC7">
            <w:pPr>
              <w:spacing w:after="0"/>
              <w:jc w:val="both"/>
              <w:textAlignment w:val="baseline"/>
              <w:rPr>
                <w:rFonts w:cs="Times New Roman"/>
                <w:b/>
                <w:sz w:val="20"/>
                <w:szCs w:val="20"/>
              </w:rPr>
            </w:pPr>
            <w:r w:rsidRPr="00977D3E">
              <w:rPr>
                <w:rFonts w:cs="Times New Roman"/>
                <w:b/>
                <w:sz w:val="20"/>
                <w:szCs w:val="20"/>
              </w:rPr>
              <w:t>CONCLUSIONES</w:t>
            </w:r>
          </w:p>
        </w:tc>
      </w:tr>
      <w:tr w:rsidR="00F26690" w:rsidRPr="00977D3E" w14:paraId="4DCD2A19" w14:textId="77777777" w:rsidTr="00E4728F">
        <w:trPr>
          <w:trHeight w:val="185"/>
        </w:trPr>
        <w:tc>
          <w:tcPr>
            <w:tcW w:w="10445" w:type="dxa"/>
            <w:gridSpan w:val="8"/>
            <w:shd w:val="clear" w:color="auto" w:fill="auto"/>
          </w:tcPr>
          <w:p w14:paraId="2C9F28A5" w14:textId="77777777" w:rsidR="009C745B" w:rsidRDefault="009C745B" w:rsidP="00C81902">
            <w:pPr>
              <w:spacing w:after="0" w:line="360" w:lineRule="auto"/>
              <w:jc w:val="both"/>
              <w:textAlignment w:val="baseline"/>
              <w:rPr>
                <w:rFonts w:cs="Times New Roman"/>
                <w:bCs/>
                <w:sz w:val="20"/>
                <w:szCs w:val="20"/>
              </w:rPr>
            </w:pPr>
          </w:p>
          <w:p w14:paraId="7BF3A9FC" w14:textId="50D42D70" w:rsidR="009C745B" w:rsidRPr="009C745B" w:rsidRDefault="009C745B" w:rsidP="00C81902">
            <w:pPr>
              <w:spacing w:after="0" w:line="360" w:lineRule="auto"/>
              <w:jc w:val="both"/>
              <w:textAlignment w:val="baseline"/>
              <w:rPr>
                <w:rFonts w:cs="Times New Roman"/>
                <w:bCs/>
                <w:sz w:val="20"/>
                <w:szCs w:val="20"/>
              </w:rPr>
            </w:pPr>
            <w:r w:rsidRPr="009C745B">
              <w:rPr>
                <w:rFonts w:cs="Times New Roman"/>
                <w:bCs/>
                <w:sz w:val="20"/>
                <w:szCs w:val="20"/>
              </w:rPr>
              <w:t xml:space="preserve">Entre los principales retos en el </w:t>
            </w:r>
            <w:r w:rsidR="00891151" w:rsidRPr="009C745B">
              <w:rPr>
                <w:rFonts w:cs="Times New Roman"/>
                <w:bCs/>
                <w:sz w:val="20"/>
                <w:szCs w:val="20"/>
              </w:rPr>
              <w:t>diagnóstico</w:t>
            </w:r>
            <w:r w:rsidRPr="009C745B">
              <w:rPr>
                <w:rFonts w:cs="Times New Roman"/>
                <w:bCs/>
                <w:sz w:val="20"/>
                <w:szCs w:val="20"/>
              </w:rPr>
              <w:t xml:space="preserve"> de </w:t>
            </w:r>
            <w:r w:rsidR="00571B81" w:rsidRPr="00891151">
              <w:rPr>
                <w:rFonts w:cs="Times New Roman"/>
                <w:bCs/>
                <w:i/>
                <w:iCs/>
                <w:sz w:val="20"/>
                <w:szCs w:val="20"/>
              </w:rPr>
              <w:t>Cándida</w:t>
            </w:r>
            <w:r w:rsidRPr="009C745B">
              <w:rPr>
                <w:rFonts w:cs="Times New Roman"/>
                <w:bCs/>
                <w:sz w:val="20"/>
                <w:szCs w:val="20"/>
              </w:rPr>
              <w:t xml:space="preserve"> se encuentran: La oportunidad diagnostica,</w:t>
            </w: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9C745B">
              <w:rPr>
                <w:rFonts w:cs="Times New Roman"/>
                <w:bCs/>
                <w:sz w:val="20"/>
                <w:szCs w:val="20"/>
              </w:rPr>
              <w:t xml:space="preserve">la Identificación correcta de especies no </w:t>
            </w:r>
            <w:proofErr w:type="spellStart"/>
            <w:r w:rsidRPr="00891151">
              <w:rPr>
                <w:rFonts w:cs="Times New Roman"/>
                <w:bCs/>
                <w:i/>
                <w:iCs/>
                <w:sz w:val="20"/>
                <w:szCs w:val="20"/>
              </w:rPr>
              <w:t>albicans</w:t>
            </w:r>
            <w:proofErr w:type="spellEnd"/>
            <w:r w:rsidRPr="009C745B">
              <w:rPr>
                <w:rFonts w:cs="Times New Roman"/>
                <w:bCs/>
                <w:sz w:val="20"/>
                <w:szCs w:val="20"/>
              </w:rPr>
              <w:t xml:space="preserve"> la identificación de </w:t>
            </w:r>
            <w:r w:rsidR="00571B81" w:rsidRPr="00891151">
              <w:rPr>
                <w:rFonts w:cs="Times New Roman"/>
                <w:bCs/>
                <w:i/>
                <w:iCs/>
                <w:sz w:val="20"/>
                <w:szCs w:val="20"/>
              </w:rPr>
              <w:t>Cándida</w:t>
            </w:r>
            <w:r w:rsidRPr="00891151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91151">
              <w:rPr>
                <w:rFonts w:cs="Times New Roman"/>
                <w:bCs/>
                <w:i/>
                <w:iCs/>
                <w:sz w:val="20"/>
                <w:szCs w:val="20"/>
              </w:rPr>
              <w:t>auris</w:t>
            </w:r>
            <w:proofErr w:type="spellEnd"/>
            <w:r w:rsidRPr="009C745B">
              <w:rPr>
                <w:rFonts w:cs="Times New Roman"/>
                <w:bCs/>
                <w:sz w:val="20"/>
                <w:szCs w:val="20"/>
              </w:rPr>
              <w:t xml:space="preserve"> y la detección de</w:t>
            </w: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9C745B">
              <w:rPr>
                <w:rFonts w:cs="Times New Roman"/>
                <w:bCs/>
                <w:sz w:val="20"/>
                <w:szCs w:val="20"/>
              </w:rPr>
              <w:t>resistencias de forma confiable, esto mediante pruebas convencionales o la implementación de</w:t>
            </w: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9C745B">
              <w:rPr>
                <w:rFonts w:cs="Times New Roman"/>
                <w:bCs/>
                <w:sz w:val="20"/>
                <w:szCs w:val="20"/>
              </w:rPr>
              <w:t>pruebas moleculares que en muchos casos han mostrado ser bastante apropiadas para cumplir con</w:t>
            </w: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9C745B">
              <w:rPr>
                <w:rFonts w:cs="Times New Roman"/>
                <w:bCs/>
                <w:sz w:val="20"/>
                <w:szCs w:val="20"/>
              </w:rPr>
              <w:t xml:space="preserve">los retos del </w:t>
            </w:r>
            <w:r w:rsidR="00891151" w:rsidRPr="009C745B">
              <w:rPr>
                <w:rFonts w:cs="Times New Roman"/>
                <w:bCs/>
                <w:sz w:val="20"/>
                <w:szCs w:val="20"/>
              </w:rPr>
              <w:t>diagnóstico</w:t>
            </w:r>
            <w:r w:rsidRPr="009C745B">
              <w:rPr>
                <w:rFonts w:cs="Times New Roman"/>
                <w:bCs/>
                <w:sz w:val="20"/>
                <w:szCs w:val="20"/>
              </w:rPr>
              <w:t xml:space="preserve"> de esta levadura de importancia clínica</w:t>
            </w:r>
          </w:p>
        </w:tc>
      </w:tr>
      <w:tr w:rsidR="00F26690" w:rsidRPr="00977D3E" w14:paraId="4B359D87" w14:textId="77777777" w:rsidTr="00E4728F">
        <w:tc>
          <w:tcPr>
            <w:tcW w:w="10445" w:type="dxa"/>
            <w:gridSpan w:val="8"/>
            <w:shd w:val="clear" w:color="auto" w:fill="F2F2F2" w:themeFill="background1" w:themeFillShade="F2"/>
          </w:tcPr>
          <w:p w14:paraId="52D4DD2B" w14:textId="77777777" w:rsidR="00F26690" w:rsidRPr="00977D3E" w:rsidRDefault="00F26690" w:rsidP="00596DC7">
            <w:pPr>
              <w:spacing w:after="0"/>
              <w:jc w:val="both"/>
              <w:textAlignment w:val="baseline"/>
              <w:rPr>
                <w:rFonts w:cs="Times New Roman"/>
                <w:b/>
                <w:sz w:val="20"/>
                <w:szCs w:val="20"/>
              </w:rPr>
            </w:pPr>
            <w:r w:rsidRPr="00977D3E">
              <w:rPr>
                <w:rFonts w:cs="Times New Roman"/>
                <w:b/>
                <w:sz w:val="20"/>
                <w:szCs w:val="20"/>
              </w:rPr>
              <w:t>RECOMENDACIONES</w:t>
            </w:r>
          </w:p>
        </w:tc>
      </w:tr>
      <w:tr w:rsidR="00F26690" w:rsidRPr="00977D3E" w14:paraId="1193C8AF" w14:textId="77777777" w:rsidTr="00E4728F">
        <w:tc>
          <w:tcPr>
            <w:tcW w:w="10445" w:type="dxa"/>
            <w:gridSpan w:val="8"/>
          </w:tcPr>
          <w:p w14:paraId="6FDA667B" w14:textId="4FEC9F0A" w:rsidR="006F5E52" w:rsidRPr="006F5E52" w:rsidRDefault="006F5E52" w:rsidP="00C81902">
            <w:pPr>
              <w:spacing w:after="0" w:line="360" w:lineRule="auto"/>
              <w:rPr>
                <w:sz w:val="20"/>
              </w:rPr>
            </w:pPr>
            <w:r w:rsidRPr="006F5E52">
              <w:rPr>
                <w:sz w:val="20"/>
              </w:rPr>
              <w:t>Para realizar el ensayo de la PCR en es muy importante contar con ADN de buena calidad y eliminar la presencia de inhibidores de la PCR que pudieran interferir en ella y producir resultados erróneos.</w:t>
            </w:r>
          </w:p>
          <w:p w14:paraId="289A729F" w14:textId="3F18F7E0" w:rsidR="006F5E52" w:rsidRPr="006F5E52" w:rsidRDefault="006F5E52" w:rsidP="00C81902">
            <w:pPr>
              <w:spacing w:after="0" w:line="360" w:lineRule="auto"/>
              <w:rPr>
                <w:sz w:val="20"/>
              </w:rPr>
            </w:pPr>
            <w:r w:rsidRPr="006F5E52">
              <w:rPr>
                <w:sz w:val="20"/>
              </w:rPr>
              <w:t>Es muy importante trabajar con pipetas calibradas.</w:t>
            </w:r>
          </w:p>
          <w:p w14:paraId="482C1401" w14:textId="21025B11" w:rsidR="006F5E52" w:rsidRPr="006F5E52" w:rsidRDefault="006F5E52" w:rsidP="00C81902">
            <w:pPr>
              <w:spacing w:after="0" w:line="360" w:lineRule="auto"/>
              <w:rPr>
                <w:sz w:val="20"/>
              </w:rPr>
            </w:pPr>
            <w:r w:rsidRPr="006F5E52">
              <w:rPr>
                <w:sz w:val="20"/>
              </w:rPr>
              <w:lastRenderedPageBreak/>
              <w:t>Preparar alícuotas de los reactivos para no descongelarlos repetidamente. Las alícuotas de sondas e iniciadores pueden estar en el refrigerador por varias semanas.</w:t>
            </w:r>
          </w:p>
          <w:p w14:paraId="1E893A71" w14:textId="4DA9CB61" w:rsidR="00F26690" w:rsidRPr="00977D3E" w:rsidRDefault="006F5E52" w:rsidP="00C81902">
            <w:pPr>
              <w:spacing w:after="0" w:line="360" w:lineRule="auto"/>
              <w:rPr>
                <w:sz w:val="20"/>
              </w:rPr>
            </w:pPr>
            <w:r w:rsidRPr="006F5E52">
              <w:rPr>
                <w:sz w:val="20"/>
              </w:rPr>
              <w:t>Preparar una mezcla de reacción para cada punto de la curva de calibración y adicionar el ADN a toda la mezcla, posteriormente dividirla según corresponda.</w:t>
            </w:r>
          </w:p>
        </w:tc>
      </w:tr>
      <w:tr w:rsidR="00F26690" w:rsidRPr="00977D3E" w14:paraId="62CB3A75" w14:textId="77777777" w:rsidTr="00E4728F">
        <w:tc>
          <w:tcPr>
            <w:tcW w:w="10445" w:type="dxa"/>
            <w:gridSpan w:val="8"/>
          </w:tcPr>
          <w:p w14:paraId="6D86ADEC" w14:textId="77777777" w:rsidR="00F26690" w:rsidRPr="00977D3E" w:rsidRDefault="00F26690" w:rsidP="00596DC7">
            <w:pPr>
              <w:tabs>
                <w:tab w:val="left" w:pos="1898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77D3E">
              <w:rPr>
                <w:rFonts w:cs="Times New Roman"/>
                <w:b/>
                <w:sz w:val="20"/>
                <w:szCs w:val="20"/>
              </w:rPr>
              <w:lastRenderedPageBreak/>
              <w:t>BIBLIOGRAFÍA</w:t>
            </w:r>
            <w:r w:rsidR="004D07E7">
              <w:rPr>
                <w:rFonts w:cs="Times New Roman"/>
                <w:b/>
                <w:sz w:val="20"/>
                <w:szCs w:val="20"/>
              </w:rPr>
              <w:t>/WEBGRAFÍA</w:t>
            </w:r>
          </w:p>
        </w:tc>
      </w:tr>
      <w:tr w:rsidR="00F26690" w:rsidRPr="00977D3E" w14:paraId="5AF50FEA" w14:textId="77777777" w:rsidTr="00E4728F">
        <w:tc>
          <w:tcPr>
            <w:tcW w:w="10445" w:type="dxa"/>
            <w:gridSpan w:val="8"/>
          </w:tcPr>
          <w:sdt>
            <w:sdt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s-EC" w:eastAsia="en-US"/>
              </w:rPr>
              <w:id w:val="-1930722463"/>
              <w:docPartObj>
                <w:docPartGallery w:val="Bibliographies"/>
                <w:docPartUnique/>
              </w:docPartObj>
            </w:sdtPr>
            <w:sdtEndPr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  <w:lang w:val="es-ES" w:eastAsia="es-ES"/>
              </w:rPr>
            </w:sdtEndPr>
            <w:sdtContent>
              <w:sdt>
                <w:sdtPr>
                  <w:rPr>
                    <w:rFonts w:asciiTheme="minorHAnsi" w:eastAsiaTheme="minorHAnsi" w:hAnsiTheme="minorHAnsi" w:cstheme="minorBidi"/>
                    <w:color w:val="auto"/>
                    <w:sz w:val="22"/>
                    <w:szCs w:val="22"/>
                    <w:lang w:val="es-EC" w:eastAsia="en-US"/>
                  </w:rPr>
                  <w:id w:val="111145805"/>
                  <w:bibliography/>
                </w:sdtPr>
                <w:sdtEndPr>
                  <w:rPr>
                    <w:rFonts w:asciiTheme="majorHAnsi" w:eastAsiaTheme="majorEastAsia" w:hAnsiTheme="majorHAnsi" w:cstheme="majorBidi"/>
                    <w:color w:val="2E74B5" w:themeColor="accent1" w:themeShade="BF"/>
                    <w:sz w:val="32"/>
                    <w:szCs w:val="32"/>
                    <w:lang w:val="es-ES" w:eastAsia="es-ES"/>
                  </w:rPr>
                </w:sdtEndPr>
                <w:sdtContent>
                  <w:p w14:paraId="70F08EE0" w14:textId="77777777" w:rsidR="006F5E52" w:rsidRPr="006F5E52" w:rsidRDefault="006F5E52" w:rsidP="006F5E52">
                    <w:pPr>
                      <w:pStyle w:val="Ttulo1"/>
                      <w:outlineLvl w:val="0"/>
                      <w:rPr>
                        <w:rFonts w:asciiTheme="minorHAnsi" w:eastAsiaTheme="minorHAnsi" w:hAnsiTheme="minorHAnsi" w:cstheme="minorBidi"/>
                        <w:color w:val="auto"/>
                        <w:sz w:val="22"/>
                        <w:szCs w:val="22"/>
                        <w:lang w:val="es-EC" w:eastAsia="en-US"/>
                      </w:rPr>
                    </w:pPr>
                    <w:r w:rsidRPr="006F5E52">
                      <w:rPr>
                        <w:rFonts w:asciiTheme="minorHAnsi" w:eastAsiaTheme="minorHAnsi" w:hAnsiTheme="minorHAnsi" w:cstheme="minorBidi"/>
                        <w:color w:val="auto"/>
                        <w:sz w:val="22"/>
                        <w:szCs w:val="22"/>
                        <w:lang w:val="es-EC" w:eastAsia="en-US"/>
                      </w:rPr>
                      <w:t>Biología molecular Salazar Montes Adriana Mc Graw Hill Interamericana Editores</w:t>
                    </w:r>
                  </w:p>
                  <w:p w14:paraId="57A6203C" w14:textId="77777777" w:rsidR="006F5E52" w:rsidRPr="006F5E52" w:rsidRDefault="006F5E52" w:rsidP="006F5E52">
                    <w:pPr>
                      <w:pStyle w:val="Ttulo1"/>
                      <w:outlineLvl w:val="0"/>
                      <w:rPr>
                        <w:rFonts w:asciiTheme="minorHAnsi" w:eastAsiaTheme="minorHAnsi" w:hAnsiTheme="minorHAnsi" w:cstheme="minorBidi"/>
                        <w:color w:val="auto"/>
                        <w:sz w:val="22"/>
                        <w:szCs w:val="22"/>
                        <w:lang w:val="es-EC" w:eastAsia="en-US"/>
                      </w:rPr>
                    </w:pPr>
                    <w:r w:rsidRPr="006F5E52">
                      <w:rPr>
                        <w:rFonts w:asciiTheme="minorHAnsi" w:eastAsiaTheme="minorHAnsi" w:hAnsiTheme="minorHAnsi" w:cstheme="minorBidi"/>
                        <w:color w:val="auto"/>
                        <w:sz w:val="22"/>
                        <w:szCs w:val="22"/>
                        <w:lang w:val="es-EC" w:eastAsia="en-US"/>
                      </w:rPr>
                      <w:t>Biología molecular Gómez Marín Jorge Enrique Corporación para Investigaciones Biológicas</w:t>
                    </w:r>
                  </w:p>
                  <w:p w14:paraId="1B2F7730" w14:textId="77777777" w:rsidR="006F5E52" w:rsidRPr="006F5E52" w:rsidRDefault="006F5E52" w:rsidP="006F5E52">
                    <w:pPr>
                      <w:pStyle w:val="Ttulo1"/>
                      <w:outlineLvl w:val="0"/>
                      <w:rPr>
                        <w:rFonts w:asciiTheme="minorHAnsi" w:eastAsiaTheme="minorHAnsi" w:hAnsiTheme="minorHAnsi" w:cstheme="minorBidi"/>
                        <w:color w:val="auto"/>
                        <w:sz w:val="22"/>
                        <w:szCs w:val="22"/>
                        <w:lang w:val="en-US" w:eastAsia="en-US"/>
                      </w:rPr>
                    </w:pPr>
                    <w:proofErr w:type="spellStart"/>
                    <w:r w:rsidRPr="006F5E52">
                      <w:rPr>
                        <w:rFonts w:asciiTheme="minorHAnsi" w:eastAsiaTheme="minorHAnsi" w:hAnsiTheme="minorHAnsi" w:cstheme="minorBidi"/>
                        <w:color w:val="auto"/>
                        <w:sz w:val="22"/>
                        <w:szCs w:val="22"/>
                        <w:lang w:val="en-US" w:eastAsia="en-US"/>
                      </w:rPr>
                      <w:t>Biología</w:t>
                    </w:r>
                    <w:proofErr w:type="spellEnd"/>
                    <w:r w:rsidRPr="006F5E52">
                      <w:rPr>
                        <w:rFonts w:asciiTheme="minorHAnsi" w:eastAsiaTheme="minorHAnsi" w:hAnsiTheme="minorHAnsi" w:cstheme="minorBidi"/>
                        <w:color w:val="auto"/>
                        <w:sz w:val="22"/>
                        <w:szCs w:val="22"/>
                        <w:lang w:val="en-US" w:eastAsia="en-US"/>
                      </w:rPr>
                      <w:t xml:space="preserve"> molecular y </w:t>
                    </w:r>
                    <w:proofErr w:type="spellStart"/>
                    <w:r w:rsidRPr="006F5E52">
                      <w:rPr>
                        <w:rFonts w:asciiTheme="minorHAnsi" w:eastAsiaTheme="minorHAnsi" w:hAnsiTheme="minorHAnsi" w:cstheme="minorBidi"/>
                        <w:color w:val="auto"/>
                        <w:sz w:val="22"/>
                        <w:szCs w:val="22"/>
                        <w:lang w:val="en-US" w:eastAsia="en-US"/>
                      </w:rPr>
                      <w:t>celular</w:t>
                    </w:r>
                    <w:proofErr w:type="spellEnd"/>
                    <w:r w:rsidRPr="006F5E52">
                      <w:rPr>
                        <w:rFonts w:asciiTheme="minorHAnsi" w:eastAsiaTheme="minorHAnsi" w:hAnsiTheme="minorHAnsi" w:cstheme="minorBidi"/>
                        <w:color w:val="auto"/>
                        <w:sz w:val="22"/>
                        <w:szCs w:val="22"/>
                        <w:lang w:val="en-US" w:eastAsia="en-US"/>
                      </w:rPr>
                      <w:t xml:space="preserve"> </w:t>
                    </w:r>
                    <w:proofErr w:type="spellStart"/>
                    <w:r w:rsidRPr="006F5E52">
                      <w:rPr>
                        <w:rFonts w:asciiTheme="minorHAnsi" w:eastAsiaTheme="minorHAnsi" w:hAnsiTheme="minorHAnsi" w:cstheme="minorBidi"/>
                        <w:color w:val="auto"/>
                        <w:sz w:val="22"/>
                        <w:szCs w:val="22"/>
                        <w:lang w:val="en-US" w:eastAsia="en-US"/>
                      </w:rPr>
                      <w:t>Chandart</w:t>
                    </w:r>
                    <w:proofErr w:type="spellEnd"/>
                    <w:r w:rsidRPr="006F5E52">
                      <w:rPr>
                        <w:rFonts w:asciiTheme="minorHAnsi" w:eastAsiaTheme="minorHAnsi" w:hAnsiTheme="minorHAnsi" w:cstheme="minorBidi"/>
                        <w:color w:val="auto"/>
                        <w:sz w:val="22"/>
                        <w:szCs w:val="22"/>
                        <w:lang w:val="en-US" w:eastAsia="en-US"/>
                      </w:rPr>
                      <w:t xml:space="preserve"> Nalini Wolters Kluwer Health</w:t>
                    </w:r>
                  </w:p>
                  <w:p w14:paraId="06FC3AAB" w14:textId="77777777" w:rsidR="006F5E52" w:rsidRPr="006F5E52" w:rsidRDefault="006F5E52" w:rsidP="006F5E52">
                    <w:pPr>
                      <w:pStyle w:val="Ttulo1"/>
                      <w:outlineLvl w:val="0"/>
                      <w:rPr>
                        <w:rFonts w:asciiTheme="minorHAnsi" w:eastAsiaTheme="minorHAnsi" w:hAnsiTheme="minorHAnsi" w:cstheme="minorBidi"/>
                        <w:color w:val="auto"/>
                        <w:sz w:val="22"/>
                        <w:szCs w:val="22"/>
                        <w:lang w:val="es-EC" w:eastAsia="en-US"/>
                      </w:rPr>
                    </w:pPr>
                    <w:r w:rsidRPr="006F5E52">
                      <w:rPr>
                        <w:rFonts w:asciiTheme="minorHAnsi" w:eastAsiaTheme="minorHAnsi" w:hAnsiTheme="minorHAnsi" w:cstheme="minorBidi"/>
                        <w:color w:val="auto"/>
                        <w:sz w:val="22"/>
                        <w:szCs w:val="22"/>
                        <w:lang w:val="es-EC" w:eastAsia="en-US"/>
                      </w:rPr>
                      <w:t>Biología Molecular y Herencia. Wallace Robert A. Editorial Trillas</w:t>
                    </w:r>
                  </w:p>
                  <w:p w14:paraId="298E80EF" w14:textId="15635783" w:rsidR="00F6554C" w:rsidRPr="00596DC7" w:rsidRDefault="006F5E52" w:rsidP="006F5E52">
                    <w:pPr>
                      <w:pStyle w:val="Ttulo1"/>
                      <w:outlineLvl w:val="0"/>
                    </w:pPr>
                    <w:r w:rsidRPr="006F5E52">
                      <w:rPr>
                        <w:rFonts w:asciiTheme="minorHAnsi" w:eastAsiaTheme="minorHAnsi" w:hAnsiTheme="minorHAnsi" w:cstheme="minorBidi"/>
                        <w:color w:val="auto"/>
                        <w:sz w:val="22"/>
                        <w:szCs w:val="22"/>
                        <w:lang w:val="es-EC" w:eastAsia="en-US"/>
                      </w:rPr>
                      <w:t xml:space="preserve">Bioquímica, biología molecular y genética Lieberman Michael Wolters </w:t>
                    </w:r>
                    <w:proofErr w:type="spellStart"/>
                    <w:r w:rsidRPr="006F5E52">
                      <w:rPr>
                        <w:rFonts w:asciiTheme="minorHAnsi" w:eastAsiaTheme="minorHAnsi" w:hAnsiTheme="minorHAnsi" w:cstheme="minorBidi"/>
                        <w:color w:val="auto"/>
                        <w:sz w:val="22"/>
                        <w:szCs w:val="22"/>
                        <w:lang w:val="es-EC" w:eastAsia="en-US"/>
                      </w:rPr>
                      <w:t>Kluwer</w:t>
                    </w:r>
                    <w:proofErr w:type="spellEnd"/>
                  </w:p>
                </w:sdtContent>
              </w:sdt>
            </w:sdtContent>
          </w:sdt>
        </w:tc>
      </w:tr>
      <w:tr w:rsidR="002856A7" w:rsidRPr="00977D3E" w14:paraId="02035117" w14:textId="77777777" w:rsidTr="00571B81">
        <w:trPr>
          <w:trHeight w:val="894"/>
        </w:trPr>
        <w:tc>
          <w:tcPr>
            <w:tcW w:w="5240" w:type="dxa"/>
            <w:gridSpan w:val="4"/>
            <w:vAlign w:val="bottom"/>
          </w:tcPr>
          <w:p w14:paraId="06705B9A" w14:textId="77777777" w:rsidR="002856A7" w:rsidRPr="00977D3E" w:rsidRDefault="002856A7" w:rsidP="00596DC7">
            <w:pPr>
              <w:spacing w:after="0" w:line="240" w:lineRule="auto"/>
              <w:rPr>
                <w:rFonts w:cs="Times New Roman"/>
                <w:b/>
                <w:sz w:val="18"/>
                <w:szCs w:val="20"/>
              </w:rPr>
            </w:pPr>
          </w:p>
          <w:p w14:paraId="1F76E363" w14:textId="77777777" w:rsidR="002856A7" w:rsidRPr="00977D3E" w:rsidRDefault="002856A7" w:rsidP="00596DC7">
            <w:pPr>
              <w:spacing w:after="0" w:line="240" w:lineRule="auto"/>
              <w:rPr>
                <w:rFonts w:cs="Times New Roman"/>
                <w:b/>
                <w:sz w:val="18"/>
                <w:szCs w:val="20"/>
              </w:rPr>
            </w:pPr>
          </w:p>
          <w:p w14:paraId="2EFE0889" w14:textId="5EE40575" w:rsidR="002856A7" w:rsidRDefault="002856A7" w:rsidP="00596DC7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20"/>
              </w:rPr>
            </w:pPr>
          </w:p>
          <w:p w14:paraId="6CB24B9E" w14:textId="77777777" w:rsidR="004257B2" w:rsidRPr="00977D3E" w:rsidRDefault="004257B2" w:rsidP="00596DC7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20"/>
              </w:rPr>
            </w:pPr>
          </w:p>
          <w:p w14:paraId="629A32C1" w14:textId="77777777" w:rsidR="002856A7" w:rsidRPr="00571B81" w:rsidRDefault="00B701C4" w:rsidP="00596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B81">
              <w:rPr>
                <w:rFonts w:ascii="Times New Roman" w:hAnsi="Times New Roman" w:cs="Times New Roman"/>
                <w:b/>
                <w:sz w:val="20"/>
                <w:szCs w:val="20"/>
              </w:rPr>
              <w:t>Mgs. Ximena Robalino F.</w:t>
            </w:r>
          </w:p>
          <w:p w14:paraId="3ED05BB5" w14:textId="3762A86C" w:rsidR="002856A7" w:rsidRPr="004257B2" w:rsidRDefault="004D07E7" w:rsidP="004257B2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20"/>
              </w:rPr>
            </w:pPr>
            <w:r>
              <w:rPr>
                <w:rFonts w:cs="Times New Roman"/>
                <w:b/>
                <w:sz w:val="18"/>
                <w:szCs w:val="20"/>
              </w:rPr>
              <w:t>DIRECTOR</w:t>
            </w:r>
            <w:r w:rsidR="002856A7" w:rsidRPr="00977D3E">
              <w:rPr>
                <w:rFonts w:cs="Times New Roman"/>
                <w:b/>
                <w:sz w:val="18"/>
                <w:szCs w:val="20"/>
              </w:rPr>
              <w:t>A DE CARRERA</w:t>
            </w:r>
          </w:p>
        </w:tc>
        <w:tc>
          <w:tcPr>
            <w:tcW w:w="5205" w:type="dxa"/>
            <w:gridSpan w:val="4"/>
            <w:vAlign w:val="bottom"/>
          </w:tcPr>
          <w:p w14:paraId="5A5AFDCD" w14:textId="77777777" w:rsidR="002856A7" w:rsidRDefault="002856A7" w:rsidP="00596DC7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  <w:p w14:paraId="3FE10AA8" w14:textId="77777777" w:rsidR="004257B2" w:rsidRDefault="004257B2" w:rsidP="00425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7B2">
              <w:rPr>
                <w:rFonts w:ascii="Times New Roman" w:hAnsi="Times New Roman" w:cs="Times New Roman"/>
                <w:b/>
                <w:sz w:val="20"/>
                <w:szCs w:val="20"/>
              </w:rPr>
              <w:t>Ing. Félix Falconí O., Mgs</w:t>
            </w:r>
          </w:p>
          <w:p w14:paraId="69A53586" w14:textId="39B71658" w:rsidR="002856A7" w:rsidRPr="00977D3E" w:rsidRDefault="002856A7" w:rsidP="004257B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77D3E">
              <w:rPr>
                <w:rFonts w:cs="Times New Roman"/>
                <w:b/>
                <w:sz w:val="18"/>
                <w:szCs w:val="20"/>
              </w:rPr>
              <w:t>DOCENTE</w:t>
            </w:r>
          </w:p>
        </w:tc>
      </w:tr>
    </w:tbl>
    <w:p w14:paraId="544A990D" w14:textId="77777777" w:rsidR="009659AB" w:rsidRPr="00977D3E" w:rsidRDefault="009659AB" w:rsidP="00854F7D">
      <w:pPr>
        <w:rPr>
          <w:rFonts w:cs="Times New Roman"/>
          <w:sz w:val="20"/>
          <w:szCs w:val="20"/>
        </w:rPr>
      </w:pPr>
    </w:p>
    <w:sectPr w:rsidR="009659AB" w:rsidRPr="00977D3E" w:rsidSect="007F083D">
      <w:headerReference w:type="default" r:id="rId9"/>
      <w:pgSz w:w="11907" w:h="16839" w:code="9"/>
      <w:pgMar w:top="1701" w:right="1418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8BA77" w14:textId="77777777" w:rsidR="00B122E6" w:rsidRDefault="00B122E6">
      <w:pPr>
        <w:spacing w:after="0" w:line="240" w:lineRule="auto"/>
      </w:pPr>
      <w:r>
        <w:separator/>
      </w:r>
    </w:p>
  </w:endnote>
  <w:endnote w:type="continuationSeparator" w:id="0">
    <w:p w14:paraId="7A040136" w14:textId="77777777" w:rsidR="00B122E6" w:rsidRDefault="00B12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96705" w14:textId="77777777" w:rsidR="00B122E6" w:rsidRDefault="00B122E6">
      <w:pPr>
        <w:spacing w:after="0" w:line="240" w:lineRule="auto"/>
      </w:pPr>
      <w:r>
        <w:separator/>
      </w:r>
    </w:p>
  </w:footnote>
  <w:footnote w:type="continuationSeparator" w:id="0">
    <w:p w14:paraId="239E7181" w14:textId="77777777" w:rsidR="00B122E6" w:rsidRDefault="00B12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2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41"/>
      <w:gridCol w:w="7088"/>
    </w:tblGrid>
    <w:tr w:rsidR="00850464" w14:paraId="25FBD672" w14:textId="77777777" w:rsidTr="00BB72A4">
      <w:trPr>
        <w:jc w:val="center"/>
      </w:trPr>
      <w:tc>
        <w:tcPr>
          <w:tcW w:w="2641" w:type="dxa"/>
          <w:vAlign w:val="center"/>
        </w:tcPr>
        <w:p w14:paraId="03AE8993" w14:textId="77777777" w:rsidR="00850464" w:rsidRDefault="00236E5E" w:rsidP="007F083D">
          <w:pPr>
            <w:pStyle w:val="Encabezado"/>
            <w:jc w:val="center"/>
          </w:pPr>
          <w:r>
            <w:rPr>
              <w:noProof/>
              <w:lang w:eastAsia="es-EC"/>
            </w:rPr>
            <w:drawing>
              <wp:inline distT="0" distB="0" distL="0" distR="0" wp14:anchorId="765B958D" wp14:editId="32854B7E">
                <wp:extent cx="1492138" cy="504825"/>
                <wp:effectExtent l="0" t="0" r="0" b="0"/>
                <wp:docPr id="13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UNACH NEW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055" cy="5186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</w:tcPr>
        <w:p w14:paraId="59E08127" w14:textId="77777777" w:rsidR="00850464" w:rsidRPr="00AC10E1" w:rsidRDefault="00520D45" w:rsidP="00AC10E1">
          <w:pPr>
            <w:spacing w:after="100" w:line="240" w:lineRule="auto"/>
            <w:ind w:left="153"/>
            <w:jc w:val="center"/>
            <w:rPr>
              <w:rFonts w:ascii="Arial" w:hAnsi="Arial" w:cs="Arial"/>
              <w:b/>
              <w:sz w:val="28"/>
            </w:rPr>
          </w:pPr>
          <w:r w:rsidRPr="00AC10E1">
            <w:rPr>
              <w:rFonts w:ascii="Arial" w:hAnsi="Arial" w:cs="Arial"/>
              <w:b/>
              <w:sz w:val="28"/>
            </w:rPr>
            <w:t>UNIVERSIDAD NACIONAL DE CHIMBORAZO</w:t>
          </w:r>
        </w:p>
        <w:p w14:paraId="14C78A37" w14:textId="77777777" w:rsidR="00850464" w:rsidRPr="00AC10E1" w:rsidRDefault="00520D45" w:rsidP="00AC10E1">
          <w:pPr>
            <w:spacing w:after="100" w:line="240" w:lineRule="auto"/>
            <w:ind w:left="153"/>
            <w:jc w:val="center"/>
            <w:rPr>
              <w:rFonts w:ascii="Arial" w:hAnsi="Arial" w:cs="Arial"/>
              <w:b/>
              <w:sz w:val="26"/>
              <w:szCs w:val="26"/>
            </w:rPr>
          </w:pPr>
          <w:r w:rsidRPr="00AC10E1">
            <w:rPr>
              <w:rFonts w:ascii="Arial" w:hAnsi="Arial" w:cs="Arial"/>
              <w:b/>
              <w:sz w:val="26"/>
              <w:szCs w:val="26"/>
            </w:rPr>
            <w:t>FACULTAD DE CIENCIAS DE LA SALUD</w:t>
          </w:r>
        </w:p>
        <w:p w14:paraId="460E19AD" w14:textId="02F94C83" w:rsidR="00850464" w:rsidRPr="00831C56" w:rsidRDefault="00520D45" w:rsidP="007F083D">
          <w:pPr>
            <w:spacing w:after="100" w:line="240" w:lineRule="auto"/>
            <w:ind w:left="-224" w:right="-10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CARRERA DE </w:t>
          </w:r>
          <w:r w:rsidR="008B7133">
            <w:rPr>
              <w:rFonts w:ascii="Arial" w:hAnsi="Arial" w:cs="Arial"/>
              <w:b/>
            </w:rPr>
            <w:t>LABORATORIO CL</w:t>
          </w:r>
          <w:r w:rsidR="00BB72A4">
            <w:rPr>
              <w:rFonts w:ascii="Arial" w:hAnsi="Arial" w:cs="Arial"/>
              <w:b/>
            </w:rPr>
            <w:t>ÍNICO</w:t>
          </w:r>
        </w:p>
      </w:tc>
    </w:tr>
  </w:tbl>
  <w:p w14:paraId="495E89A9" w14:textId="77777777" w:rsidR="00850464" w:rsidRPr="008E2B47" w:rsidRDefault="00B122E6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5F23"/>
    <w:multiLevelType w:val="hybridMultilevel"/>
    <w:tmpl w:val="80689AA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806CC"/>
    <w:multiLevelType w:val="hybridMultilevel"/>
    <w:tmpl w:val="FA0069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85DD7"/>
    <w:multiLevelType w:val="hybridMultilevel"/>
    <w:tmpl w:val="770ECB3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CD09EA"/>
    <w:multiLevelType w:val="hybridMultilevel"/>
    <w:tmpl w:val="61661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15B14"/>
    <w:multiLevelType w:val="hybridMultilevel"/>
    <w:tmpl w:val="C1AA124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C0E26"/>
    <w:multiLevelType w:val="hybridMultilevel"/>
    <w:tmpl w:val="D9868F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35687"/>
    <w:multiLevelType w:val="hybridMultilevel"/>
    <w:tmpl w:val="8598AC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750F2"/>
    <w:multiLevelType w:val="multilevel"/>
    <w:tmpl w:val="51386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BA66B9"/>
    <w:multiLevelType w:val="hybridMultilevel"/>
    <w:tmpl w:val="2654C8C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C9615F"/>
    <w:multiLevelType w:val="hybridMultilevel"/>
    <w:tmpl w:val="844837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87114"/>
    <w:multiLevelType w:val="hybridMultilevel"/>
    <w:tmpl w:val="B33211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1601E"/>
    <w:multiLevelType w:val="hybridMultilevel"/>
    <w:tmpl w:val="465ED4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4365C"/>
    <w:multiLevelType w:val="hybridMultilevel"/>
    <w:tmpl w:val="41BEA3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C45D5"/>
    <w:multiLevelType w:val="hybridMultilevel"/>
    <w:tmpl w:val="A1502C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50DE4"/>
    <w:multiLevelType w:val="hybridMultilevel"/>
    <w:tmpl w:val="136693B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6358B"/>
    <w:multiLevelType w:val="hybridMultilevel"/>
    <w:tmpl w:val="985EFE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9194D"/>
    <w:multiLevelType w:val="hybridMultilevel"/>
    <w:tmpl w:val="923A3C46"/>
    <w:lvl w:ilvl="0" w:tplc="0C0A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7" w15:restartNumberingAfterBreak="0">
    <w:nsid w:val="37E45E5E"/>
    <w:multiLevelType w:val="hybridMultilevel"/>
    <w:tmpl w:val="0BDA0E1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94EB2"/>
    <w:multiLevelType w:val="hybridMultilevel"/>
    <w:tmpl w:val="6DD60D7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6469A"/>
    <w:multiLevelType w:val="hybridMultilevel"/>
    <w:tmpl w:val="E2BA8A84"/>
    <w:lvl w:ilvl="0" w:tplc="63400FBC">
      <w:start w:val="4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46FA1"/>
    <w:multiLevelType w:val="hybridMultilevel"/>
    <w:tmpl w:val="ABD211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17535"/>
    <w:multiLevelType w:val="hybridMultilevel"/>
    <w:tmpl w:val="8B8C0D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A04EB"/>
    <w:multiLevelType w:val="hybridMultilevel"/>
    <w:tmpl w:val="9140D010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D381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42E25ED"/>
    <w:multiLevelType w:val="hybridMultilevel"/>
    <w:tmpl w:val="3DB6D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B6BD6"/>
    <w:multiLevelType w:val="hybridMultilevel"/>
    <w:tmpl w:val="628898A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D07DCA"/>
    <w:multiLevelType w:val="hybridMultilevel"/>
    <w:tmpl w:val="F37A3C5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3104E8"/>
    <w:multiLevelType w:val="hybridMultilevel"/>
    <w:tmpl w:val="DAB86F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2372A"/>
    <w:multiLevelType w:val="hybridMultilevel"/>
    <w:tmpl w:val="0C2683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32A83"/>
    <w:multiLevelType w:val="hybridMultilevel"/>
    <w:tmpl w:val="55365D3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B5ABF"/>
    <w:multiLevelType w:val="hybridMultilevel"/>
    <w:tmpl w:val="2E2A6AE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AB2237"/>
    <w:multiLevelType w:val="hybridMultilevel"/>
    <w:tmpl w:val="BA8C0C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8346A3"/>
    <w:multiLevelType w:val="hybridMultilevel"/>
    <w:tmpl w:val="1ED43186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8618E6"/>
    <w:multiLevelType w:val="multilevel"/>
    <w:tmpl w:val="8006E8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-"/>
      <w:lvlJc w:val="left"/>
      <w:pPr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AA1247"/>
    <w:multiLevelType w:val="hybridMultilevel"/>
    <w:tmpl w:val="AC744A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2729A"/>
    <w:multiLevelType w:val="hybridMultilevel"/>
    <w:tmpl w:val="8CFE74F4"/>
    <w:lvl w:ilvl="0" w:tplc="774409A0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720" w:hanging="360"/>
      </w:pPr>
    </w:lvl>
    <w:lvl w:ilvl="2" w:tplc="300A001B" w:tentative="1">
      <w:start w:val="1"/>
      <w:numFmt w:val="lowerRoman"/>
      <w:lvlText w:val="%3."/>
      <w:lvlJc w:val="right"/>
      <w:pPr>
        <w:ind w:left="1440" w:hanging="180"/>
      </w:pPr>
    </w:lvl>
    <w:lvl w:ilvl="3" w:tplc="300A000F" w:tentative="1">
      <w:start w:val="1"/>
      <w:numFmt w:val="decimal"/>
      <w:lvlText w:val="%4."/>
      <w:lvlJc w:val="left"/>
      <w:pPr>
        <w:ind w:left="2160" w:hanging="360"/>
      </w:pPr>
    </w:lvl>
    <w:lvl w:ilvl="4" w:tplc="300A0019" w:tentative="1">
      <w:start w:val="1"/>
      <w:numFmt w:val="lowerLetter"/>
      <w:lvlText w:val="%5."/>
      <w:lvlJc w:val="left"/>
      <w:pPr>
        <w:ind w:left="2880" w:hanging="360"/>
      </w:pPr>
    </w:lvl>
    <w:lvl w:ilvl="5" w:tplc="300A001B" w:tentative="1">
      <w:start w:val="1"/>
      <w:numFmt w:val="lowerRoman"/>
      <w:lvlText w:val="%6."/>
      <w:lvlJc w:val="right"/>
      <w:pPr>
        <w:ind w:left="3600" w:hanging="180"/>
      </w:pPr>
    </w:lvl>
    <w:lvl w:ilvl="6" w:tplc="300A000F" w:tentative="1">
      <w:start w:val="1"/>
      <w:numFmt w:val="decimal"/>
      <w:lvlText w:val="%7."/>
      <w:lvlJc w:val="left"/>
      <w:pPr>
        <w:ind w:left="4320" w:hanging="360"/>
      </w:pPr>
    </w:lvl>
    <w:lvl w:ilvl="7" w:tplc="300A0019" w:tentative="1">
      <w:start w:val="1"/>
      <w:numFmt w:val="lowerLetter"/>
      <w:lvlText w:val="%8."/>
      <w:lvlJc w:val="left"/>
      <w:pPr>
        <w:ind w:left="5040" w:hanging="360"/>
      </w:pPr>
    </w:lvl>
    <w:lvl w:ilvl="8" w:tplc="30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71AA6829"/>
    <w:multiLevelType w:val="hybridMultilevel"/>
    <w:tmpl w:val="4F6C6F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417F75"/>
    <w:multiLevelType w:val="hybridMultilevel"/>
    <w:tmpl w:val="15C81F1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96E5284"/>
    <w:multiLevelType w:val="hybridMultilevel"/>
    <w:tmpl w:val="AA6099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236B68"/>
    <w:multiLevelType w:val="hybridMultilevel"/>
    <w:tmpl w:val="134CAB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76750C"/>
    <w:multiLevelType w:val="hybridMultilevel"/>
    <w:tmpl w:val="46A221B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607A54"/>
    <w:multiLevelType w:val="hybridMultilevel"/>
    <w:tmpl w:val="7736B28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FACC90">
      <w:numFmt w:val="bullet"/>
      <w:lvlText w:val="•"/>
      <w:lvlJc w:val="left"/>
      <w:pPr>
        <w:ind w:left="1830" w:hanging="750"/>
      </w:pPr>
      <w:rPr>
        <w:rFonts w:ascii="Calibri" w:eastAsiaTheme="minorHAnsi" w:hAnsi="Calibri" w:cs="Calibri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C6358F"/>
    <w:multiLevelType w:val="hybridMultilevel"/>
    <w:tmpl w:val="DF34597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0"/>
  </w:num>
  <w:num w:numId="4">
    <w:abstractNumId w:val="18"/>
  </w:num>
  <w:num w:numId="5">
    <w:abstractNumId w:val="28"/>
  </w:num>
  <w:num w:numId="6">
    <w:abstractNumId w:val="21"/>
  </w:num>
  <w:num w:numId="7">
    <w:abstractNumId w:val="24"/>
  </w:num>
  <w:num w:numId="8">
    <w:abstractNumId w:val="11"/>
  </w:num>
  <w:num w:numId="9">
    <w:abstractNumId w:val="16"/>
  </w:num>
  <w:num w:numId="10">
    <w:abstractNumId w:val="7"/>
  </w:num>
  <w:num w:numId="11">
    <w:abstractNumId w:val="38"/>
  </w:num>
  <w:num w:numId="12">
    <w:abstractNumId w:val="39"/>
  </w:num>
  <w:num w:numId="13">
    <w:abstractNumId w:val="31"/>
  </w:num>
  <w:num w:numId="14">
    <w:abstractNumId w:val="12"/>
  </w:num>
  <w:num w:numId="15">
    <w:abstractNumId w:val="36"/>
  </w:num>
  <w:num w:numId="16">
    <w:abstractNumId w:val="1"/>
  </w:num>
  <w:num w:numId="17">
    <w:abstractNumId w:val="34"/>
  </w:num>
  <w:num w:numId="18">
    <w:abstractNumId w:val="3"/>
  </w:num>
  <w:num w:numId="19">
    <w:abstractNumId w:val="10"/>
  </w:num>
  <w:num w:numId="20">
    <w:abstractNumId w:val="8"/>
  </w:num>
  <w:num w:numId="21">
    <w:abstractNumId w:val="15"/>
  </w:num>
  <w:num w:numId="22">
    <w:abstractNumId w:val="37"/>
  </w:num>
  <w:num w:numId="23">
    <w:abstractNumId w:val="32"/>
  </w:num>
  <w:num w:numId="24">
    <w:abstractNumId w:val="26"/>
  </w:num>
  <w:num w:numId="25">
    <w:abstractNumId w:val="14"/>
  </w:num>
  <w:num w:numId="26">
    <w:abstractNumId w:val="35"/>
  </w:num>
  <w:num w:numId="27">
    <w:abstractNumId w:val="22"/>
  </w:num>
  <w:num w:numId="28">
    <w:abstractNumId w:val="19"/>
  </w:num>
  <w:num w:numId="29">
    <w:abstractNumId w:val="30"/>
  </w:num>
  <w:num w:numId="30">
    <w:abstractNumId w:val="2"/>
  </w:num>
  <w:num w:numId="31">
    <w:abstractNumId w:val="25"/>
  </w:num>
  <w:num w:numId="32">
    <w:abstractNumId w:val="33"/>
  </w:num>
  <w:num w:numId="33">
    <w:abstractNumId w:val="23"/>
  </w:num>
  <w:num w:numId="34">
    <w:abstractNumId w:val="5"/>
  </w:num>
  <w:num w:numId="35">
    <w:abstractNumId w:val="42"/>
  </w:num>
  <w:num w:numId="36">
    <w:abstractNumId w:val="4"/>
  </w:num>
  <w:num w:numId="37">
    <w:abstractNumId w:val="13"/>
  </w:num>
  <w:num w:numId="38">
    <w:abstractNumId w:val="41"/>
  </w:num>
  <w:num w:numId="39">
    <w:abstractNumId w:val="17"/>
  </w:num>
  <w:num w:numId="40">
    <w:abstractNumId w:val="29"/>
  </w:num>
  <w:num w:numId="41">
    <w:abstractNumId w:val="27"/>
  </w:num>
  <w:num w:numId="42">
    <w:abstractNumId w:val="40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CBE"/>
    <w:rsid w:val="00016BCE"/>
    <w:rsid w:val="00017DEB"/>
    <w:rsid w:val="000225A9"/>
    <w:rsid w:val="000277E3"/>
    <w:rsid w:val="00040C94"/>
    <w:rsid w:val="00042CD7"/>
    <w:rsid w:val="00042D4E"/>
    <w:rsid w:val="00046666"/>
    <w:rsid w:val="00064959"/>
    <w:rsid w:val="00073F2A"/>
    <w:rsid w:val="000818A4"/>
    <w:rsid w:val="00086D7B"/>
    <w:rsid w:val="00091E47"/>
    <w:rsid w:val="000A2E79"/>
    <w:rsid w:val="000A483B"/>
    <w:rsid w:val="000B6940"/>
    <w:rsid w:val="000F6BD0"/>
    <w:rsid w:val="00135732"/>
    <w:rsid w:val="001445F4"/>
    <w:rsid w:val="001468A8"/>
    <w:rsid w:val="00152A12"/>
    <w:rsid w:val="00171099"/>
    <w:rsid w:val="00173C80"/>
    <w:rsid w:val="001B5331"/>
    <w:rsid w:val="001C3025"/>
    <w:rsid w:val="001D0BAC"/>
    <w:rsid w:val="001D716C"/>
    <w:rsid w:val="001E2DC2"/>
    <w:rsid w:val="00206776"/>
    <w:rsid w:val="002326CB"/>
    <w:rsid w:val="00236E5E"/>
    <w:rsid w:val="002405A5"/>
    <w:rsid w:val="0024476F"/>
    <w:rsid w:val="00255E68"/>
    <w:rsid w:val="002618D0"/>
    <w:rsid w:val="002842DE"/>
    <w:rsid w:val="00284FCE"/>
    <w:rsid w:val="002856A7"/>
    <w:rsid w:val="002F2A4C"/>
    <w:rsid w:val="0031089D"/>
    <w:rsid w:val="00317F33"/>
    <w:rsid w:val="00354069"/>
    <w:rsid w:val="00357534"/>
    <w:rsid w:val="00365461"/>
    <w:rsid w:val="00380010"/>
    <w:rsid w:val="003845A8"/>
    <w:rsid w:val="00390D41"/>
    <w:rsid w:val="003A095E"/>
    <w:rsid w:val="003B6FA0"/>
    <w:rsid w:val="003C036E"/>
    <w:rsid w:val="004029A4"/>
    <w:rsid w:val="00411074"/>
    <w:rsid w:val="00423B95"/>
    <w:rsid w:val="004257B2"/>
    <w:rsid w:val="004522EE"/>
    <w:rsid w:val="00453906"/>
    <w:rsid w:val="004547A2"/>
    <w:rsid w:val="00464738"/>
    <w:rsid w:val="004923E8"/>
    <w:rsid w:val="004A3A38"/>
    <w:rsid w:val="004B60A3"/>
    <w:rsid w:val="004C258F"/>
    <w:rsid w:val="004C715B"/>
    <w:rsid w:val="004C755E"/>
    <w:rsid w:val="004D07E7"/>
    <w:rsid w:val="004D24BF"/>
    <w:rsid w:val="004E7B4B"/>
    <w:rsid w:val="005118FD"/>
    <w:rsid w:val="005127F7"/>
    <w:rsid w:val="00520D45"/>
    <w:rsid w:val="00523D00"/>
    <w:rsid w:val="005276B2"/>
    <w:rsid w:val="00533411"/>
    <w:rsid w:val="005403F6"/>
    <w:rsid w:val="00543ACE"/>
    <w:rsid w:val="00545D01"/>
    <w:rsid w:val="005538A0"/>
    <w:rsid w:val="00553C59"/>
    <w:rsid w:val="00563B2E"/>
    <w:rsid w:val="00571B81"/>
    <w:rsid w:val="00576476"/>
    <w:rsid w:val="00584E14"/>
    <w:rsid w:val="00596DC7"/>
    <w:rsid w:val="005A1DDF"/>
    <w:rsid w:val="005A53DD"/>
    <w:rsid w:val="005B2F75"/>
    <w:rsid w:val="005B6234"/>
    <w:rsid w:val="005C2ADF"/>
    <w:rsid w:val="005D0F4E"/>
    <w:rsid w:val="005E0C7B"/>
    <w:rsid w:val="005E0C8B"/>
    <w:rsid w:val="005E4287"/>
    <w:rsid w:val="005F74E5"/>
    <w:rsid w:val="00610AB2"/>
    <w:rsid w:val="00621B69"/>
    <w:rsid w:val="00636E84"/>
    <w:rsid w:val="00642BF6"/>
    <w:rsid w:val="00643644"/>
    <w:rsid w:val="00643E01"/>
    <w:rsid w:val="006550F7"/>
    <w:rsid w:val="006571CA"/>
    <w:rsid w:val="00680B0D"/>
    <w:rsid w:val="00683699"/>
    <w:rsid w:val="00685555"/>
    <w:rsid w:val="00686CA5"/>
    <w:rsid w:val="006A2084"/>
    <w:rsid w:val="006C069A"/>
    <w:rsid w:val="006C3404"/>
    <w:rsid w:val="006D6026"/>
    <w:rsid w:val="006F3259"/>
    <w:rsid w:val="006F5E52"/>
    <w:rsid w:val="00700AEC"/>
    <w:rsid w:val="007127E4"/>
    <w:rsid w:val="00723736"/>
    <w:rsid w:val="00774AA1"/>
    <w:rsid w:val="0078256E"/>
    <w:rsid w:val="00785A83"/>
    <w:rsid w:val="00795D1D"/>
    <w:rsid w:val="00796C85"/>
    <w:rsid w:val="007A0AB7"/>
    <w:rsid w:val="007B1027"/>
    <w:rsid w:val="007C5673"/>
    <w:rsid w:val="007F083D"/>
    <w:rsid w:val="007F4C0E"/>
    <w:rsid w:val="00822CBE"/>
    <w:rsid w:val="008358A6"/>
    <w:rsid w:val="00854F7D"/>
    <w:rsid w:val="00864842"/>
    <w:rsid w:val="00870EF9"/>
    <w:rsid w:val="00875633"/>
    <w:rsid w:val="008837FC"/>
    <w:rsid w:val="00891151"/>
    <w:rsid w:val="008A51B6"/>
    <w:rsid w:val="008B5E3C"/>
    <w:rsid w:val="008B7133"/>
    <w:rsid w:val="008E6D0F"/>
    <w:rsid w:val="008F5671"/>
    <w:rsid w:val="009063C7"/>
    <w:rsid w:val="009075AF"/>
    <w:rsid w:val="0091286F"/>
    <w:rsid w:val="00922C5F"/>
    <w:rsid w:val="00944416"/>
    <w:rsid w:val="009659AB"/>
    <w:rsid w:val="00977D3E"/>
    <w:rsid w:val="00980FC7"/>
    <w:rsid w:val="00992BB2"/>
    <w:rsid w:val="009A0B0D"/>
    <w:rsid w:val="009A2548"/>
    <w:rsid w:val="009B04BD"/>
    <w:rsid w:val="009B1C34"/>
    <w:rsid w:val="009B1D71"/>
    <w:rsid w:val="009C745B"/>
    <w:rsid w:val="009D20EC"/>
    <w:rsid w:val="009D48BF"/>
    <w:rsid w:val="00A04388"/>
    <w:rsid w:val="00A130FC"/>
    <w:rsid w:val="00A20A9D"/>
    <w:rsid w:val="00A2160A"/>
    <w:rsid w:val="00A2237A"/>
    <w:rsid w:val="00A27FD0"/>
    <w:rsid w:val="00A335FB"/>
    <w:rsid w:val="00A35590"/>
    <w:rsid w:val="00A536DC"/>
    <w:rsid w:val="00A61A46"/>
    <w:rsid w:val="00A841F6"/>
    <w:rsid w:val="00AA1FFF"/>
    <w:rsid w:val="00AA3029"/>
    <w:rsid w:val="00AA3136"/>
    <w:rsid w:val="00AC10E1"/>
    <w:rsid w:val="00AC7B9A"/>
    <w:rsid w:val="00AE2DD7"/>
    <w:rsid w:val="00B02DA6"/>
    <w:rsid w:val="00B122E6"/>
    <w:rsid w:val="00B24095"/>
    <w:rsid w:val="00B36315"/>
    <w:rsid w:val="00B410C4"/>
    <w:rsid w:val="00B701C4"/>
    <w:rsid w:val="00B72C5F"/>
    <w:rsid w:val="00B76C0D"/>
    <w:rsid w:val="00B91190"/>
    <w:rsid w:val="00B919AA"/>
    <w:rsid w:val="00B93143"/>
    <w:rsid w:val="00BA4C87"/>
    <w:rsid w:val="00BB1E3B"/>
    <w:rsid w:val="00BB257B"/>
    <w:rsid w:val="00BB6D2F"/>
    <w:rsid w:val="00BB72A4"/>
    <w:rsid w:val="00BB72BF"/>
    <w:rsid w:val="00BB7448"/>
    <w:rsid w:val="00BD0CA7"/>
    <w:rsid w:val="00BE69B4"/>
    <w:rsid w:val="00BF5E87"/>
    <w:rsid w:val="00C03BD5"/>
    <w:rsid w:val="00C419A6"/>
    <w:rsid w:val="00C45424"/>
    <w:rsid w:val="00C46B07"/>
    <w:rsid w:val="00C5277D"/>
    <w:rsid w:val="00C639CD"/>
    <w:rsid w:val="00C67120"/>
    <w:rsid w:val="00C81902"/>
    <w:rsid w:val="00C81B57"/>
    <w:rsid w:val="00C82238"/>
    <w:rsid w:val="00C83D83"/>
    <w:rsid w:val="00C84CF6"/>
    <w:rsid w:val="00C94DC1"/>
    <w:rsid w:val="00C9797A"/>
    <w:rsid w:val="00CB6555"/>
    <w:rsid w:val="00CD0DEB"/>
    <w:rsid w:val="00CD0E17"/>
    <w:rsid w:val="00D06ADF"/>
    <w:rsid w:val="00D103A2"/>
    <w:rsid w:val="00D11014"/>
    <w:rsid w:val="00D20D99"/>
    <w:rsid w:val="00D33983"/>
    <w:rsid w:val="00D344E2"/>
    <w:rsid w:val="00D440B5"/>
    <w:rsid w:val="00D60F0B"/>
    <w:rsid w:val="00D65A89"/>
    <w:rsid w:val="00D70785"/>
    <w:rsid w:val="00D740A1"/>
    <w:rsid w:val="00DA4FDC"/>
    <w:rsid w:val="00DB373F"/>
    <w:rsid w:val="00DE332E"/>
    <w:rsid w:val="00DE3465"/>
    <w:rsid w:val="00DF4060"/>
    <w:rsid w:val="00E060DA"/>
    <w:rsid w:val="00E070A7"/>
    <w:rsid w:val="00E1766F"/>
    <w:rsid w:val="00E23687"/>
    <w:rsid w:val="00E36188"/>
    <w:rsid w:val="00E4728F"/>
    <w:rsid w:val="00E53F69"/>
    <w:rsid w:val="00E62296"/>
    <w:rsid w:val="00E663C5"/>
    <w:rsid w:val="00E73018"/>
    <w:rsid w:val="00E753AB"/>
    <w:rsid w:val="00E77567"/>
    <w:rsid w:val="00E813AD"/>
    <w:rsid w:val="00E840C4"/>
    <w:rsid w:val="00E854C4"/>
    <w:rsid w:val="00E902CD"/>
    <w:rsid w:val="00E905FE"/>
    <w:rsid w:val="00EC27C7"/>
    <w:rsid w:val="00EC48AD"/>
    <w:rsid w:val="00EC4D21"/>
    <w:rsid w:val="00EE0D70"/>
    <w:rsid w:val="00EE4BDD"/>
    <w:rsid w:val="00EF225A"/>
    <w:rsid w:val="00F05741"/>
    <w:rsid w:val="00F06591"/>
    <w:rsid w:val="00F2058A"/>
    <w:rsid w:val="00F2557A"/>
    <w:rsid w:val="00F26690"/>
    <w:rsid w:val="00F32867"/>
    <w:rsid w:val="00F44332"/>
    <w:rsid w:val="00F5602E"/>
    <w:rsid w:val="00F57809"/>
    <w:rsid w:val="00F63184"/>
    <w:rsid w:val="00F6554C"/>
    <w:rsid w:val="00F70F2A"/>
    <w:rsid w:val="00F91C8A"/>
    <w:rsid w:val="00F92F33"/>
    <w:rsid w:val="00FA72D5"/>
    <w:rsid w:val="00FB2FB2"/>
    <w:rsid w:val="00FC4EFF"/>
    <w:rsid w:val="00FC4FE7"/>
    <w:rsid w:val="00FD43AF"/>
    <w:rsid w:val="00FD6B9A"/>
    <w:rsid w:val="00FD6D47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B3A3A"/>
  <w15:docId w15:val="{46DEFA7E-19DC-48E7-A6FD-CFC8EE18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CBE"/>
    <w:pPr>
      <w:spacing w:after="200" w:line="276" w:lineRule="auto"/>
    </w:pPr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B02DA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3540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22C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22CBE"/>
    <w:rPr>
      <w:lang w:val="es-EC"/>
    </w:rPr>
  </w:style>
  <w:style w:type="table" w:styleId="Tablaconcuadrcula">
    <w:name w:val="Table Grid"/>
    <w:basedOn w:val="Tablanormal"/>
    <w:uiPriority w:val="59"/>
    <w:rsid w:val="00822CBE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2C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2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5406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table" w:customStyle="1" w:styleId="Tablanormal41">
    <w:name w:val="Tabla normal 41"/>
    <w:basedOn w:val="Tablanormal"/>
    <w:uiPriority w:val="44"/>
    <w:rsid w:val="0035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11">
    <w:name w:val="Tabla normal 11"/>
    <w:basedOn w:val="Tablanormal"/>
    <w:uiPriority w:val="41"/>
    <w:rsid w:val="0035406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B02DA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Bibliografa">
    <w:name w:val="Bibliography"/>
    <w:basedOn w:val="Normal"/>
    <w:next w:val="Normal"/>
    <w:uiPriority w:val="37"/>
    <w:unhideWhenUsed/>
    <w:rsid w:val="00B02DA6"/>
  </w:style>
  <w:style w:type="paragraph" w:styleId="Piedepgina">
    <w:name w:val="footer"/>
    <w:basedOn w:val="Normal"/>
    <w:link w:val="PiedepginaCar"/>
    <w:uiPriority w:val="99"/>
    <w:unhideWhenUsed/>
    <w:rsid w:val="008B7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133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5B2F7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25A"/>
    <w:rPr>
      <w:rFonts w:ascii="Tahoma" w:hAnsi="Tahoma" w:cs="Tahoma"/>
      <w:sz w:val="16"/>
      <w:szCs w:val="16"/>
      <w:lang w:val="es-EC"/>
    </w:rPr>
  </w:style>
  <w:style w:type="character" w:customStyle="1" w:styleId="inlinetitle">
    <w:name w:val="inline_title"/>
    <w:basedOn w:val="Fuentedeprrafopredeter"/>
    <w:rsid w:val="00EF225A"/>
  </w:style>
  <w:style w:type="paragraph" w:styleId="Sangradetextonormal">
    <w:name w:val="Body Text Indent"/>
    <w:basedOn w:val="Normal"/>
    <w:link w:val="SangradetextonormalCar"/>
    <w:rsid w:val="0091286F"/>
    <w:pPr>
      <w:suppressAutoHyphens/>
      <w:spacing w:after="120" w:line="240" w:lineRule="auto"/>
      <w:ind w:left="360"/>
    </w:pPr>
    <w:rPr>
      <w:rFonts w:ascii="Arial" w:eastAsia="Times New Roman" w:hAnsi="Arial" w:cs="Times New Roman"/>
      <w:sz w:val="20"/>
      <w:szCs w:val="24"/>
      <w:lang w:val="x-none" w:eastAsia="zh-CN"/>
    </w:rPr>
  </w:style>
  <w:style w:type="character" w:customStyle="1" w:styleId="SangradetextonormalCar">
    <w:name w:val="Sangría de texto normal Car"/>
    <w:basedOn w:val="Fuentedeprrafopredeter"/>
    <w:link w:val="Sangradetextonormal"/>
    <w:rsid w:val="0091286F"/>
    <w:rPr>
      <w:rFonts w:ascii="Arial" w:eastAsia="Times New Roman" w:hAnsi="Arial" w:cs="Times New Roman"/>
      <w:sz w:val="20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73895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666666"/>
            <w:bottom w:val="single" w:sz="6" w:space="11" w:color="666666"/>
            <w:right w:val="single" w:sz="6" w:space="11" w:color="666666"/>
          </w:divBdr>
        </w:div>
      </w:divsChild>
    </w:div>
    <w:div w:id="334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>
  <b:Source>
    <b:Tag>Agu15</b:Tag>
    <b:SourceType>JournalArticle</b:SourceType>
    <b:Guid>{48DB0AA4-1A68-486C-9311-BD2BD61A7503}</b:Guid>
    <b:Author>
      <b:Author>
        <b:NameList>
          <b:Person>
            <b:Last>Aguilera</b:Last>
            <b:First>Penélope</b:First>
          </b:Person>
          <b:Person>
            <b:Last>Ruiz Tachiquin</b:Last>
            <b:First>Martha</b:First>
          </b:Person>
          <b:Person>
            <b:Last>Rocha Munive</b:Last>
            <b:Middle>Graciela</b:Middle>
            <b:First>Martha</b:First>
          </b:Person>
          <b:Person>
            <b:Last>Et </b:Last>
            <b:First>al</b:First>
          </b:Person>
        </b:NameList>
      </b:Author>
    </b:Author>
    <b:Title>PCR en tiempo real</b:Title>
    <b:JournalName>Inecc</b:JournalName>
    <b:Year>2015</b:Year>
    <b:RefOrder>2</b:RefOrder>
  </b:Source>
  <b:Source>
    <b:Tag>Jar20</b:Tag>
    <b:SourceType>JournalArticle</b:SourceType>
    <b:Guid>{15553F32-0382-4115-9D2D-ECF5E8502B77}</b:Guid>
    <b:Author>
      <b:Author>
        <b:NameList>
          <b:Person>
            <b:Last>Jarweth</b:Last>
            <b:First>Nicole</b:First>
          </b:Person>
        </b:NameList>
      </b:Author>
    </b:Author>
    <b:Title>Detección del virus de la COVID 19 mediante la RT PCR en tiempo real</b:Title>
    <b:JournalName>IAEA</b:JournalName>
    <b:Year>2020</b:Year>
    <b:Month>Junio</b:Month>
    <b:Volume>61</b:Volume>
    <b:Issue>2</b:Issue>
    <b:RefOrder>1</b:RefOrder>
  </b:Source>
</b:Sources>
</file>

<file path=customXml/itemProps1.xml><?xml version="1.0" encoding="utf-8"?>
<ds:datastoreItem xmlns:ds="http://schemas.openxmlformats.org/officeDocument/2006/customXml" ds:itemID="{2D8C0D7F-7921-4DF9-9A80-13241C002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1110</Words>
  <Characters>6110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Felix Falconi</cp:lastModifiedBy>
  <cp:revision>33</cp:revision>
  <cp:lastPrinted>2018-10-11T14:44:00Z</cp:lastPrinted>
  <dcterms:created xsi:type="dcterms:W3CDTF">2021-11-08T09:19:00Z</dcterms:created>
  <dcterms:modified xsi:type="dcterms:W3CDTF">2023-10-05T19:34:00Z</dcterms:modified>
</cp:coreProperties>
</file>