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754CF0C4"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346DD7">
        <w:rPr>
          <w:rFonts w:ascii="Microsoft JhengHei UI" w:eastAsia="Microsoft JhengHei UI" w:hAnsi="Microsoft JhengHei UI"/>
          <w:b/>
        </w:rPr>
        <w:t>MICROBIOLOGÍA Y PARASITOLOGÍA</w:t>
      </w:r>
    </w:p>
    <w:p w14:paraId="3560D7BD" w14:textId="6A8C2D0C"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8F37CB">
        <w:rPr>
          <w:rFonts w:ascii="Microsoft JhengHei UI" w:eastAsia="Microsoft JhengHei UI" w:hAnsi="Microsoft JhengHei UI"/>
          <w:b/>
        </w:rPr>
        <w:t>H</w:t>
      </w:r>
      <w:r w:rsidR="00C750B8">
        <w:rPr>
          <w:rFonts w:ascii="Microsoft JhengHei UI" w:eastAsia="Microsoft JhengHei UI" w:hAnsi="Microsoft JhengHei UI"/>
          <w:b/>
        </w:rPr>
        <w:t>200</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2118B48B" w:rsidR="00E0092E" w:rsidRPr="00310DB0" w:rsidRDefault="00E0092E" w:rsidP="00BA2D7B">
            <w:pP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D84787">
              <w:t xml:space="preserve"> </w:t>
            </w:r>
            <w:r w:rsidR="00864B86" w:rsidRPr="00864B86">
              <w:rPr>
                <w:rFonts w:ascii="Calibri" w:hAnsi="Calibri" w:cs="Calibri-Bold"/>
                <w:sz w:val="28"/>
                <w:szCs w:val="28"/>
              </w:rPr>
              <w:t>BACTERIAS (COCOS)</w:t>
            </w:r>
          </w:p>
        </w:tc>
      </w:tr>
    </w:tbl>
    <w:p w14:paraId="328DA1EE" w14:textId="146128E7"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D84787">
        <w:rPr>
          <w:rFonts w:cs="Calibri-Bold"/>
          <w:b/>
          <w:bCs/>
          <w:sz w:val="42"/>
          <w:szCs w:val="32"/>
        </w:rPr>
        <w:t>3</w:t>
      </w:r>
      <w:r w:rsidRPr="00310DB0">
        <w:rPr>
          <w:rFonts w:cs="Calibri-Bold"/>
          <w:b/>
          <w:bCs/>
          <w:sz w:val="42"/>
          <w:szCs w:val="32"/>
        </w:rPr>
        <w:t>_</w:t>
      </w:r>
    </w:p>
    <w:p w14:paraId="7E8A01E5" w14:textId="77777777" w:rsidR="00E0092E" w:rsidRPr="00310DB0" w:rsidRDefault="00E0092E" w:rsidP="00E0092E">
      <w:pPr>
        <w:jc w:val="right"/>
        <w:rPr>
          <w:b/>
          <w:sz w:val="20"/>
        </w:rPr>
      </w:pPr>
      <w:r w:rsidRPr="00310DB0">
        <w:rPr>
          <w:b/>
          <w:sz w:val="20"/>
        </w:rPr>
        <w:t>DATOS GENERALES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71"/>
        <w:gridCol w:w="1952"/>
        <w:gridCol w:w="373"/>
        <w:gridCol w:w="732"/>
        <w:gridCol w:w="1125"/>
        <w:gridCol w:w="416"/>
        <w:gridCol w:w="2248"/>
      </w:tblGrid>
      <w:tr w:rsidR="00346DD7" w:rsidRPr="00346DD7" w14:paraId="68C2AB77" w14:textId="77777777" w:rsidTr="00C750B8">
        <w:tc>
          <w:tcPr>
            <w:tcW w:w="1963"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217" w:type="dxa"/>
            <w:gridSpan w:val="7"/>
            <w:shd w:val="clear" w:color="auto" w:fill="auto"/>
          </w:tcPr>
          <w:p w14:paraId="7ECBBA9A" w14:textId="37C0939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MICROBIOLOGÍA Y PARASITOLOGÍA</w:t>
            </w:r>
          </w:p>
        </w:tc>
      </w:tr>
      <w:tr w:rsidR="00346DD7" w:rsidRPr="00346DD7" w14:paraId="73D13C84" w14:textId="77777777" w:rsidTr="00C750B8">
        <w:tc>
          <w:tcPr>
            <w:tcW w:w="1963"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217" w:type="dxa"/>
            <w:gridSpan w:val="7"/>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C750B8">
        <w:tc>
          <w:tcPr>
            <w:tcW w:w="1963"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217" w:type="dxa"/>
            <w:gridSpan w:val="7"/>
            <w:shd w:val="clear" w:color="auto" w:fill="auto"/>
          </w:tcPr>
          <w:p w14:paraId="0105EB49" w14:textId="6CD3269E" w:rsidR="00346DD7" w:rsidRPr="00346DD7" w:rsidRDefault="00C750B8" w:rsidP="00346DD7">
            <w:pPr>
              <w:rPr>
                <w:rFonts w:asciiTheme="majorHAnsi" w:hAnsiTheme="majorHAnsi" w:cstheme="majorHAnsi"/>
              </w:rPr>
            </w:pPr>
            <w:r>
              <w:rPr>
                <w:rFonts w:asciiTheme="majorHAnsi" w:eastAsia="Microsoft JhengHei UI" w:hAnsiTheme="majorHAnsi" w:cstheme="majorHAnsi"/>
                <w:bCs/>
              </w:rPr>
              <w:t>Miércoles</w:t>
            </w:r>
            <w:r w:rsidR="00346DD7" w:rsidRPr="00346DD7">
              <w:rPr>
                <w:rFonts w:asciiTheme="majorHAnsi" w:eastAsia="Microsoft JhengHei UI" w:hAnsiTheme="majorHAnsi" w:cstheme="majorHAnsi"/>
                <w:bCs/>
              </w:rPr>
              <w:t xml:space="preserve">, </w:t>
            </w:r>
            <w:r>
              <w:rPr>
                <w:rFonts w:asciiTheme="majorHAnsi" w:eastAsia="Microsoft JhengHei UI" w:hAnsiTheme="majorHAnsi" w:cstheme="majorHAnsi"/>
                <w:bCs/>
              </w:rPr>
              <w:t>16</w:t>
            </w:r>
            <w:r w:rsidR="00D55AED">
              <w:rPr>
                <w:rFonts w:asciiTheme="majorHAnsi" w:eastAsia="Microsoft JhengHei UI" w:hAnsiTheme="majorHAnsi" w:cstheme="majorHAnsi"/>
                <w:bCs/>
              </w:rPr>
              <w:t xml:space="preserve"> de </w:t>
            </w:r>
            <w:r w:rsidR="008F37CB">
              <w:rPr>
                <w:rFonts w:asciiTheme="majorHAnsi" w:eastAsia="Microsoft JhengHei UI" w:hAnsiTheme="majorHAnsi" w:cstheme="majorHAnsi"/>
                <w:bCs/>
              </w:rPr>
              <w:t>abril</w:t>
            </w:r>
            <w:r w:rsidR="00346DD7" w:rsidRPr="00346DD7">
              <w:rPr>
                <w:rFonts w:asciiTheme="majorHAnsi" w:eastAsia="Microsoft JhengHei UI" w:hAnsiTheme="majorHAnsi" w:cstheme="majorHAnsi"/>
                <w:bCs/>
              </w:rPr>
              <w:t xml:space="preserve"> de</w:t>
            </w:r>
            <w:r w:rsidR="00D55AED">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202</w:t>
            </w:r>
            <w:r w:rsidR="008F37CB">
              <w:rPr>
                <w:rFonts w:asciiTheme="majorHAnsi" w:eastAsia="Microsoft JhengHei UI" w:hAnsiTheme="majorHAnsi" w:cstheme="majorHAnsi"/>
                <w:bCs/>
              </w:rPr>
              <w:t>5</w:t>
            </w:r>
          </w:p>
        </w:tc>
      </w:tr>
      <w:tr w:rsidR="00346DD7" w:rsidRPr="00346DD7" w14:paraId="425952DE" w14:textId="77777777" w:rsidTr="00C750B8">
        <w:tc>
          <w:tcPr>
            <w:tcW w:w="1963"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217" w:type="dxa"/>
            <w:gridSpan w:val="7"/>
            <w:shd w:val="clear" w:color="auto" w:fill="auto"/>
          </w:tcPr>
          <w:p w14:paraId="41BE7347" w14:textId="401BFD60"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 xml:space="preserve">Segundo </w:t>
            </w:r>
            <w:r w:rsidR="0089080D">
              <w:rPr>
                <w:rFonts w:asciiTheme="majorHAnsi" w:eastAsia="Microsoft JhengHei UI" w:hAnsiTheme="majorHAnsi" w:cstheme="majorHAnsi"/>
                <w:bCs/>
              </w:rPr>
              <w:t>A</w:t>
            </w:r>
          </w:p>
        </w:tc>
      </w:tr>
      <w:tr w:rsidR="00346DD7" w:rsidRPr="00346DD7" w14:paraId="7BB3A95D" w14:textId="77777777" w:rsidTr="00C750B8">
        <w:tc>
          <w:tcPr>
            <w:tcW w:w="1963"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217" w:type="dxa"/>
            <w:gridSpan w:val="7"/>
            <w:shd w:val="clear" w:color="auto" w:fill="auto"/>
            <w:vAlign w:val="center"/>
          </w:tcPr>
          <w:p w14:paraId="0CB7A14C" w14:textId="4933E6A6"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BA347F">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BA347F">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C750B8">
        <w:tc>
          <w:tcPr>
            <w:tcW w:w="1963"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323"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230" w:type="dxa"/>
            <w:gridSpan w:val="3"/>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664"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D55AED" w:rsidRPr="00346DD7" w14:paraId="26840745" w14:textId="77777777" w:rsidTr="00C750B8">
        <w:trPr>
          <w:trHeight w:val="2776"/>
        </w:trPr>
        <w:tc>
          <w:tcPr>
            <w:tcW w:w="1963" w:type="dxa"/>
            <w:vMerge/>
            <w:shd w:val="clear" w:color="auto" w:fill="auto"/>
          </w:tcPr>
          <w:p w14:paraId="639C7333" w14:textId="77777777" w:rsidR="00D55AED" w:rsidRPr="00346DD7" w:rsidRDefault="00D55AED" w:rsidP="00D55AED">
            <w:pPr>
              <w:rPr>
                <w:rFonts w:asciiTheme="majorHAnsi" w:hAnsiTheme="majorHAnsi" w:cstheme="majorHAnsi"/>
              </w:rPr>
            </w:pPr>
          </w:p>
        </w:tc>
        <w:tc>
          <w:tcPr>
            <w:tcW w:w="2323" w:type="dxa"/>
            <w:gridSpan w:val="2"/>
            <w:shd w:val="clear" w:color="auto" w:fill="auto"/>
          </w:tcPr>
          <w:p w14:paraId="03FC4B97" w14:textId="4C3AB3EC" w:rsidR="00D55AED" w:rsidRPr="00D55AED" w:rsidRDefault="00D55AED" w:rsidP="00C750B8">
            <w:pPr>
              <w:pStyle w:val="Prrafodelista"/>
              <w:widowControl w:val="0"/>
              <w:numPr>
                <w:ilvl w:val="0"/>
                <w:numId w:val="33"/>
              </w:numPr>
              <w:autoSpaceDE w:val="0"/>
              <w:autoSpaceDN w:val="0"/>
              <w:ind w:right="108"/>
              <w:jc w:val="both"/>
              <w:rPr>
                <w:rFonts w:asciiTheme="majorHAnsi" w:hAnsiTheme="majorHAnsi" w:cstheme="majorHAnsi"/>
                <w:sz w:val="19"/>
                <w:szCs w:val="19"/>
              </w:rPr>
            </w:pPr>
          </w:p>
        </w:tc>
        <w:tc>
          <w:tcPr>
            <w:tcW w:w="2230" w:type="dxa"/>
            <w:gridSpan w:val="3"/>
            <w:shd w:val="clear" w:color="auto" w:fill="auto"/>
          </w:tcPr>
          <w:p w14:paraId="00EC8E17" w14:textId="1A766CDA" w:rsidR="00D55AED" w:rsidRPr="00D55AED" w:rsidRDefault="00D55AED" w:rsidP="00C750B8">
            <w:pPr>
              <w:pStyle w:val="Prrafodelista"/>
              <w:widowControl w:val="0"/>
              <w:numPr>
                <w:ilvl w:val="0"/>
                <w:numId w:val="33"/>
              </w:numPr>
              <w:autoSpaceDE w:val="0"/>
              <w:autoSpaceDN w:val="0"/>
              <w:ind w:right="108"/>
              <w:jc w:val="both"/>
              <w:rPr>
                <w:rFonts w:asciiTheme="majorHAnsi" w:hAnsiTheme="majorHAnsi" w:cstheme="majorHAnsi"/>
                <w:sz w:val="19"/>
                <w:szCs w:val="19"/>
              </w:rPr>
            </w:pPr>
          </w:p>
        </w:tc>
        <w:tc>
          <w:tcPr>
            <w:tcW w:w="2664" w:type="dxa"/>
            <w:gridSpan w:val="2"/>
            <w:shd w:val="clear" w:color="auto" w:fill="auto"/>
          </w:tcPr>
          <w:p w14:paraId="0E13BE9B" w14:textId="31C62B43" w:rsidR="00D55AED" w:rsidRPr="00D55AED" w:rsidRDefault="00D55AED" w:rsidP="00C750B8">
            <w:pPr>
              <w:pStyle w:val="Prrafodelista"/>
              <w:widowControl w:val="0"/>
              <w:numPr>
                <w:ilvl w:val="0"/>
                <w:numId w:val="33"/>
              </w:numPr>
              <w:autoSpaceDE w:val="0"/>
              <w:autoSpaceDN w:val="0"/>
              <w:ind w:right="108"/>
              <w:jc w:val="both"/>
              <w:rPr>
                <w:rFonts w:asciiTheme="majorHAnsi" w:hAnsiTheme="majorHAnsi" w:cstheme="majorHAnsi"/>
                <w:sz w:val="19"/>
                <w:szCs w:val="19"/>
              </w:rPr>
            </w:pPr>
          </w:p>
        </w:tc>
      </w:tr>
      <w:tr w:rsidR="00E0092E" w:rsidRPr="00346DD7" w14:paraId="09688A8D" w14:textId="77777777" w:rsidTr="00C750B8">
        <w:trPr>
          <w:trHeight w:val="709"/>
        </w:trPr>
        <w:tc>
          <w:tcPr>
            <w:tcW w:w="1963"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428" w:type="dxa"/>
            <w:gridSpan w:val="4"/>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5A6BA399" w14:textId="589A47ED" w:rsidR="00E0092E" w:rsidRPr="00346DD7" w:rsidRDefault="008F37CB" w:rsidP="00AA5B7A">
            <w:pPr>
              <w:pStyle w:val="Prrafodelista"/>
              <w:ind w:left="360"/>
              <w:rPr>
                <w:rFonts w:asciiTheme="majorHAnsi" w:eastAsia="Microsoft JhengHei UI" w:hAnsiTheme="majorHAnsi" w:cstheme="majorHAnsi"/>
                <w:bCs/>
              </w:rPr>
            </w:pPr>
            <w:r>
              <w:rPr>
                <w:rFonts w:asciiTheme="majorHAnsi" w:eastAsia="Microsoft JhengHei UI" w:hAnsiTheme="majorHAnsi" w:cstheme="majorHAnsi"/>
                <w:bCs/>
              </w:rPr>
              <w:t>H</w:t>
            </w:r>
            <w:r w:rsidR="00C750B8">
              <w:rPr>
                <w:rFonts w:asciiTheme="majorHAnsi" w:eastAsia="Microsoft JhengHei UI" w:hAnsiTheme="majorHAnsi" w:cstheme="majorHAnsi"/>
                <w:bCs/>
              </w:rPr>
              <w:t>200</w:t>
            </w:r>
          </w:p>
          <w:p w14:paraId="6E7008D5" w14:textId="77777777" w:rsidR="00E0092E" w:rsidRPr="00346DD7" w:rsidRDefault="00E0092E" w:rsidP="00AA5B7A">
            <w:pPr>
              <w:pStyle w:val="Prrafodelista"/>
              <w:ind w:left="360"/>
              <w:rPr>
                <w:rFonts w:asciiTheme="majorHAnsi" w:eastAsia="Microsoft JhengHei UI" w:hAnsiTheme="majorHAnsi" w:cstheme="majorHAnsi"/>
                <w:bCs/>
              </w:rPr>
            </w:pPr>
          </w:p>
        </w:tc>
        <w:tc>
          <w:tcPr>
            <w:tcW w:w="3789" w:type="dxa"/>
            <w:gridSpan w:val="3"/>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AA5B7A">
        <w:tc>
          <w:tcPr>
            <w:tcW w:w="9180" w:type="dxa"/>
            <w:gridSpan w:val="8"/>
            <w:shd w:val="clear" w:color="auto" w:fill="auto"/>
          </w:tcPr>
          <w:p w14:paraId="6B909FFE" w14:textId="5C319E9F" w:rsidR="00346DD7" w:rsidRDefault="00346DD7" w:rsidP="00346DD7">
            <w:pPr>
              <w:jc w:val="both"/>
              <w:rPr>
                <w:rFonts w:asciiTheme="majorHAnsi" w:hAnsiTheme="majorHAnsi" w:cstheme="majorHAnsi"/>
              </w:rPr>
            </w:pPr>
            <w:r w:rsidRPr="00346DD7">
              <w:rPr>
                <w:rFonts w:asciiTheme="majorHAnsi" w:hAnsiTheme="majorHAnsi" w:cstheme="majorHAnsi"/>
                <w:b/>
                <w:bCs/>
              </w:rPr>
              <w:t>Objetivos</w:t>
            </w:r>
            <w:r w:rsidRPr="00346DD7">
              <w:rPr>
                <w:rFonts w:asciiTheme="majorHAnsi" w:hAnsiTheme="majorHAnsi" w:cstheme="majorHAnsi"/>
              </w:rPr>
              <w:t xml:space="preserve">: </w:t>
            </w:r>
          </w:p>
          <w:p w14:paraId="769F3218" w14:textId="6DF02025" w:rsidR="00AC2493" w:rsidRPr="00AC2493" w:rsidRDefault="00AC2493" w:rsidP="00346DD7">
            <w:pPr>
              <w:jc w:val="both"/>
              <w:rPr>
                <w:rFonts w:asciiTheme="majorHAnsi" w:hAnsiTheme="majorHAnsi" w:cstheme="majorHAnsi"/>
                <w:b/>
                <w:bCs/>
              </w:rPr>
            </w:pPr>
            <w:r w:rsidRPr="00AC2493">
              <w:rPr>
                <w:rFonts w:asciiTheme="majorHAnsi" w:hAnsiTheme="majorHAnsi" w:cstheme="majorHAnsi"/>
                <w:b/>
                <w:bCs/>
              </w:rPr>
              <w:t xml:space="preserve">General </w:t>
            </w:r>
          </w:p>
          <w:p w14:paraId="27ECEA73" w14:textId="22CF596B" w:rsidR="00346DD7" w:rsidRPr="00AC2493" w:rsidRDefault="000C2140" w:rsidP="00AC2493">
            <w:pPr>
              <w:pStyle w:val="Prrafodelista"/>
              <w:numPr>
                <w:ilvl w:val="0"/>
                <w:numId w:val="24"/>
              </w:numPr>
              <w:jc w:val="both"/>
              <w:rPr>
                <w:rFonts w:asciiTheme="majorHAnsi" w:hAnsiTheme="majorHAnsi" w:cstheme="majorHAnsi"/>
                <w:b/>
                <w:bCs/>
              </w:rPr>
            </w:pPr>
            <w:r>
              <w:rPr>
                <w:rFonts w:asciiTheme="majorHAnsi" w:hAnsiTheme="majorHAnsi" w:cstheme="majorHAnsi"/>
              </w:rPr>
              <w:t xml:space="preserve">Analizar </w:t>
            </w:r>
            <w:r w:rsidRPr="000C2140">
              <w:rPr>
                <w:rFonts w:asciiTheme="majorHAnsi" w:hAnsiTheme="majorHAnsi" w:cstheme="majorHAnsi"/>
              </w:rPr>
              <w:t xml:space="preserve">la </w:t>
            </w:r>
            <w:r w:rsidR="00C750B8">
              <w:rPr>
                <w:rFonts w:asciiTheme="majorHAnsi" w:hAnsiTheme="majorHAnsi" w:cstheme="majorHAnsi"/>
              </w:rPr>
              <w:t>morfología y</w:t>
            </w:r>
            <w:r>
              <w:rPr>
                <w:rFonts w:asciiTheme="majorHAnsi" w:hAnsiTheme="majorHAnsi" w:cstheme="majorHAnsi"/>
              </w:rPr>
              <w:t xml:space="preserve"> </w:t>
            </w:r>
            <w:r w:rsidRPr="000C2140">
              <w:rPr>
                <w:rFonts w:asciiTheme="majorHAnsi" w:hAnsiTheme="majorHAnsi" w:cstheme="majorHAnsi"/>
              </w:rPr>
              <w:t xml:space="preserve">alteraciones que </w:t>
            </w:r>
            <w:r>
              <w:rPr>
                <w:rFonts w:asciiTheme="majorHAnsi" w:hAnsiTheme="majorHAnsi" w:cstheme="majorHAnsi"/>
              </w:rPr>
              <w:t xml:space="preserve">provocan </w:t>
            </w:r>
            <w:r w:rsidR="00780975">
              <w:rPr>
                <w:rFonts w:asciiTheme="majorHAnsi" w:hAnsiTheme="majorHAnsi" w:cstheme="majorHAnsi"/>
              </w:rPr>
              <w:t>las</w:t>
            </w:r>
            <w:r w:rsidR="00780975" w:rsidRPr="000C2140">
              <w:rPr>
                <w:rFonts w:asciiTheme="majorHAnsi" w:hAnsiTheme="majorHAnsi" w:cstheme="majorHAnsi"/>
              </w:rPr>
              <w:t xml:space="preserve"> </w:t>
            </w:r>
            <w:r w:rsidR="00780975">
              <w:rPr>
                <w:rFonts w:asciiTheme="majorHAnsi" w:hAnsiTheme="majorHAnsi" w:cstheme="majorHAnsi"/>
              </w:rPr>
              <w:t>bacterias</w:t>
            </w:r>
            <w:r w:rsidR="00C750B8">
              <w:rPr>
                <w:rFonts w:asciiTheme="majorHAnsi" w:hAnsiTheme="majorHAnsi" w:cstheme="majorHAnsi"/>
              </w:rPr>
              <w:t xml:space="preserve"> tipo (coco)</w:t>
            </w:r>
            <w:r w:rsidRPr="000C2140">
              <w:rPr>
                <w:rFonts w:asciiTheme="majorHAnsi" w:hAnsiTheme="majorHAnsi" w:cstheme="majorHAnsi"/>
              </w:rPr>
              <w:t xml:space="preserve">, a través del estudio </w:t>
            </w:r>
            <w:r>
              <w:rPr>
                <w:rFonts w:asciiTheme="majorHAnsi" w:hAnsiTheme="majorHAnsi" w:cstheme="majorHAnsi"/>
              </w:rPr>
              <w:t xml:space="preserve">de artículos científicos actualizados para comprender las diversas infecciones que provoca.  </w:t>
            </w:r>
          </w:p>
          <w:p w14:paraId="33A51485" w14:textId="32CC8475" w:rsidR="00AC2493" w:rsidRPr="00AC2493" w:rsidRDefault="00AC2493" w:rsidP="00AC2493">
            <w:pPr>
              <w:jc w:val="both"/>
              <w:rPr>
                <w:rFonts w:asciiTheme="majorHAnsi" w:hAnsiTheme="majorHAnsi" w:cstheme="majorHAnsi"/>
                <w:b/>
                <w:bCs/>
              </w:rPr>
            </w:pPr>
            <w:r w:rsidRPr="00AC2493">
              <w:rPr>
                <w:rFonts w:asciiTheme="majorHAnsi" w:hAnsiTheme="majorHAnsi" w:cstheme="majorHAnsi"/>
                <w:b/>
                <w:bCs/>
              </w:rPr>
              <w:t>Específicos</w:t>
            </w:r>
          </w:p>
          <w:p w14:paraId="62B2EC0F" w14:textId="1D895497" w:rsidR="00AC2493" w:rsidRPr="002C2A1C" w:rsidRDefault="002C2A1C" w:rsidP="00AC2493">
            <w:pPr>
              <w:pStyle w:val="Prrafodelista"/>
              <w:numPr>
                <w:ilvl w:val="0"/>
                <w:numId w:val="24"/>
              </w:numPr>
              <w:jc w:val="both"/>
              <w:rPr>
                <w:rFonts w:asciiTheme="majorHAnsi" w:hAnsiTheme="majorHAnsi" w:cstheme="majorHAnsi"/>
              </w:rPr>
            </w:pPr>
            <w:r w:rsidRPr="002C2A1C">
              <w:rPr>
                <w:rFonts w:asciiTheme="majorHAnsi" w:hAnsiTheme="majorHAnsi" w:cstheme="majorHAnsi"/>
              </w:rPr>
              <w:t xml:space="preserve">Identificar </w:t>
            </w:r>
            <w:r w:rsidR="000C2140">
              <w:rPr>
                <w:rFonts w:asciiTheme="majorHAnsi" w:hAnsiTheme="majorHAnsi" w:cstheme="majorHAnsi"/>
              </w:rPr>
              <w:t xml:space="preserve">las características microscópicas </w:t>
            </w:r>
            <w:r w:rsidR="00443600">
              <w:rPr>
                <w:rFonts w:asciiTheme="majorHAnsi" w:hAnsiTheme="majorHAnsi" w:cstheme="majorHAnsi"/>
              </w:rPr>
              <w:t xml:space="preserve">después de la tinción Gram de los microorganismos SAMR y </w:t>
            </w:r>
            <w:proofErr w:type="spellStart"/>
            <w:r w:rsidR="00443600" w:rsidRPr="00443600">
              <w:rPr>
                <w:rFonts w:asciiTheme="majorHAnsi" w:hAnsiTheme="majorHAnsi" w:cstheme="majorHAnsi"/>
                <w:i/>
                <w:iCs/>
              </w:rPr>
              <w:t>Neisseria</w:t>
            </w:r>
            <w:proofErr w:type="spellEnd"/>
            <w:r w:rsidR="00443600" w:rsidRPr="00443600">
              <w:rPr>
                <w:rFonts w:asciiTheme="majorHAnsi" w:hAnsiTheme="majorHAnsi" w:cstheme="majorHAnsi"/>
                <w:i/>
                <w:iCs/>
              </w:rPr>
              <w:t xml:space="preserve"> </w:t>
            </w:r>
            <w:proofErr w:type="spellStart"/>
            <w:r w:rsidR="00443600" w:rsidRPr="00443600">
              <w:rPr>
                <w:rFonts w:asciiTheme="majorHAnsi" w:hAnsiTheme="majorHAnsi" w:cstheme="majorHAnsi"/>
                <w:i/>
                <w:iCs/>
              </w:rPr>
              <w:t>gonorrhoeae</w:t>
            </w:r>
            <w:proofErr w:type="spellEnd"/>
            <w:r w:rsidR="00443600">
              <w:rPr>
                <w:rFonts w:asciiTheme="majorHAnsi" w:hAnsiTheme="majorHAnsi" w:cstheme="majorHAnsi"/>
              </w:rPr>
              <w:t xml:space="preserve">. </w:t>
            </w:r>
          </w:p>
          <w:p w14:paraId="535BBC4B" w14:textId="4FFB5C03" w:rsidR="002C2A1C" w:rsidRPr="002C2A1C" w:rsidRDefault="00443600" w:rsidP="00AC2493">
            <w:pPr>
              <w:pStyle w:val="Prrafodelista"/>
              <w:numPr>
                <w:ilvl w:val="0"/>
                <w:numId w:val="24"/>
              </w:numPr>
              <w:jc w:val="both"/>
              <w:rPr>
                <w:rFonts w:asciiTheme="majorHAnsi" w:hAnsiTheme="majorHAnsi" w:cstheme="majorHAnsi"/>
              </w:rPr>
            </w:pPr>
            <w:r>
              <w:rPr>
                <w:rFonts w:asciiTheme="majorHAnsi" w:hAnsiTheme="majorHAnsi" w:cstheme="majorHAnsi"/>
              </w:rPr>
              <w:t xml:space="preserve">Explicar la forma de transmisión </w:t>
            </w:r>
            <w:r w:rsidR="008E6DBA">
              <w:rPr>
                <w:rFonts w:asciiTheme="majorHAnsi" w:hAnsiTheme="majorHAnsi" w:cstheme="majorHAnsi"/>
              </w:rPr>
              <w:t xml:space="preserve">y métodos diagnósticos </w:t>
            </w:r>
            <w:r>
              <w:rPr>
                <w:rFonts w:asciiTheme="majorHAnsi" w:hAnsiTheme="majorHAnsi" w:cstheme="majorHAnsi"/>
              </w:rPr>
              <w:t xml:space="preserve">de SAMR y </w:t>
            </w:r>
            <w:proofErr w:type="spellStart"/>
            <w:r w:rsidRPr="00443600">
              <w:rPr>
                <w:rFonts w:asciiTheme="majorHAnsi" w:hAnsiTheme="majorHAnsi" w:cstheme="majorHAnsi"/>
                <w:i/>
                <w:iCs/>
              </w:rPr>
              <w:t>Neisseria</w:t>
            </w:r>
            <w:proofErr w:type="spellEnd"/>
            <w:r w:rsidRPr="00443600">
              <w:rPr>
                <w:rFonts w:asciiTheme="majorHAnsi" w:hAnsiTheme="majorHAnsi" w:cstheme="majorHAnsi"/>
                <w:i/>
                <w:iCs/>
              </w:rPr>
              <w:t xml:space="preserve"> </w:t>
            </w:r>
            <w:proofErr w:type="spellStart"/>
            <w:r w:rsidRPr="00443600">
              <w:rPr>
                <w:rFonts w:asciiTheme="majorHAnsi" w:hAnsiTheme="majorHAnsi" w:cstheme="majorHAnsi"/>
                <w:i/>
                <w:iCs/>
              </w:rPr>
              <w:t>gonorrhoeae</w:t>
            </w:r>
            <w:proofErr w:type="spellEnd"/>
            <w:r>
              <w:rPr>
                <w:rFonts w:asciiTheme="majorHAnsi" w:hAnsiTheme="majorHAnsi" w:cstheme="majorHAnsi"/>
              </w:rPr>
              <w:t>.</w:t>
            </w:r>
          </w:p>
          <w:p w14:paraId="14BE74CE" w14:textId="313F28BA" w:rsidR="008E6DBA" w:rsidRPr="000B4EB4" w:rsidRDefault="008E6DBA" w:rsidP="00781B81">
            <w:pPr>
              <w:pStyle w:val="Prrafodelista"/>
              <w:numPr>
                <w:ilvl w:val="0"/>
                <w:numId w:val="24"/>
              </w:numPr>
              <w:jc w:val="both"/>
              <w:rPr>
                <w:rFonts w:asciiTheme="majorHAnsi" w:hAnsiTheme="majorHAnsi" w:cstheme="majorHAnsi"/>
                <w:b/>
                <w:bCs/>
              </w:rPr>
            </w:pPr>
            <w:r w:rsidRPr="000B4EB4">
              <w:rPr>
                <w:rFonts w:asciiTheme="majorHAnsi" w:hAnsiTheme="majorHAnsi" w:cstheme="majorHAnsi"/>
              </w:rPr>
              <w:t xml:space="preserve">Explicar las principales características clínicas, tratamiento de los sujetos portadores de las bacterias SAMR y </w:t>
            </w:r>
            <w:proofErr w:type="spellStart"/>
            <w:r w:rsidRPr="000B4EB4">
              <w:rPr>
                <w:rFonts w:asciiTheme="majorHAnsi" w:hAnsiTheme="majorHAnsi" w:cstheme="majorHAnsi"/>
                <w:i/>
                <w:iCs/>
              </w:rPr>
              <w:t>Neisseria</w:t>
            </w:r>
            <w:proofErr w:type="spellEnd"/>
            <w:r w:rsidRPr="000B4EB4">
              <w:rPr>
                <w:rFonts w:asciiTheme="majorHAnsi" w:hAnsiTheme="majorHAnsi" w:cstheme="majorHAnsi"/>
                <w:i/>
                <w:iCs/>
              </w:rPr>
              <w:t xml:space="preserve"> </w:t>
            </w:r>
            <w:proofErr w:type="spellStart"/>
            <w:r w:rsidRPr="000B4EB4">
              <w:rPr>
                <w:rFonts w:asciiTheme="majorHAnsi" w:hAnsiTheme="majorHAnsi" w:cstheme="majorHAnsi"/>
                <w:i/>
                <w:iCs/>
              </w:rPr>
              <w:t>gonorrhoeae</w:t>
            </w:r>
            <w:proofErr w:type="spellEnd"/>
            <w:r w:rsidRPr="000B4EB4">
              <w:rPr>
                <w:rFonts w:asciiTheme="majorHAnsi" w:hAnsiTheme="majorHAnsi" w:cstheme="majorHAnsi"/>
                <w:i/>
                <w:iCs/>
              </w:rPr>
              <w:t xml:space="preserve">, </w:t>
            </w:r>
            <w:r w:rsidRPr="000B4EB4">
              <w:rPr>
                <w:rFonts w:asciiTheme="majorHAnsi" w:hAnsiTheme="majorHAnsi" w:cstheme="majorHAnsi"/>
              </w:rPr>
              <w:t>así como medida de prevención de la infección.</w:t>
            </w:r>
          </w:p>
          <w:p w14:paraId="0A97FFC5" w14:textId="7FAC6C2A" w:rsidR="008E6DBA" w:rsidRPr="00346DD7" w:rsidRDefault="008E6DBA" w:rsidP="008E6DBA">
            <w:pPr>
              <w:pStyle w:val="Prrafodelista"/>
              <w:ind w:left="360"/>
              <w:jc w:val="both"/>
              <w:rPr>
                <w:rFonts w:asciiTheme="majorHAnsi" w:hAnsiTheme="majorHAnsi" w:cstheme="majorHAnsi"/>
                <w:b/>
                <w:bCs/>
              </w:rPr>
            </w:pPr>
          </w:p>
        </w:tc>
      </w:tr>
      <w:tr w:rsidR="00346DD7" w:rsidRPr="00346DD7" w14:paraId="0C7BCDA2" w14:textId="77777777" w:rsidTr="00AA5B7A">
        <w:tc>
          <w:tcPr>
            <w:tcW w:w="9180" w:type="dxa"/>
            <w:gridSpan w:val="8"/>
            <w:shd w:val="clear" w:color="auto" w:fill="auto"/>
          </w:tcPr>
          <w:p w14:paraId="2476F499" w14:textId="77777777" w:rsidR="00346DD7" w:rsidRPr="00346DD7" w:rsidRDefault="00346DD7" w:rsidP="00346DD7">
            <w:pPr>
              <w:jc w:val="both"/>
              <w:rPr>
                <w:rFonts w:asciiTheme="majorHAnsi" w:hAnsiTheme="majorHAnsi" w:cstheme="majorHAnsi"/>
              </w:rPr>
            </w:pPr>
            <w:r w:rsidRPr="00346DD7">
              <w:rPr>
                <w:rFonts w:asciiTheme="majorHAnsi" w:hAnsiTheme="majorHAnsi" w:cstheme="majorHAnsi"/>
                <w:b/>
                <w:bCs/>
              </w:rPr>
              <w:t>Resultados de aprendizaje</w:t>
            </w:r>
            <w:r w:rsidRPr="00346DD7">
              <w:rPr>
                <w:rFonts w:asciiTheme="majorHAnsi" w:hAnsiTheme="majorHAnsi" w:cstheme="majorHAnsi"/>
              </w:rPr>
              <w:t xml:space="preserve">: </w:t>
            </w:r>
          </w:p>
          <w:p w14:paraId="061C7331" w14:textId="4CC4DBCF" w:rsidR="00D84787" w:rsidRPr="00D84787" w:rsidRDefault="00CD0328" w:rsidP="00CD0328">
            <w:pPr>
              <w:pStyle w:val="Prrafodelista"/>
              <w:numPr>
                <w:ilvl w:val="0"/>
                <w:numId w:val="24"/>
              </w:numPr>
              <w:jc w:val="both"/>
              <w:rPr>
                <w:rFonts w:asciiTheme="majorHAnsi" w:hAnsiTheme="majorHAnsi" w:cstheme="majorHAnsi"/>
              </w:rPr>
            </w:pPr>
            <w:r w:rsidRPr="00CD0328">
              <w:rPr>
                <w:rFonts w:asciiTheme="majorHAnsi" w:hAnsiTheme="majorHAnsi" w:cstheme="majorHAnsi"/>
              </w:rPr>
              <w:t>Relaciona la estructura de bacterias y hongos, con las alteraciones que producen en el organismo humano, para comprender las</w:t>
            </w:r>
            <w:r>
              <w:rPr>
                <w:rFonts w:asciiTheme="majorHAnsi" w:hAnsiTheme="majorHAnsi" w:cstheme="majorHAnsi"/>
              </w:rPr>
              <w:t xml:space="preserve"> </w:t>
            </w:r>
            <w:r w:rsidRPr="00CD0328">
              <w:rPr>
                <w:rFonts w:asciiTheme="majorHAnsi" w:hAnsiTheme="majorHAnsi" w:cstheme="majorHAnsi"/>
              </w:rPr>
              <w:t>enfermedades infecciosas que afectan al individuo y aportar a la recuperación de la salud en ambientes comunitarios y hospitalarios</w:t>
            </w:r>
          </w:p>
        </w:tc>
      </w:tr>
      <w:tr w:rsidR="00346DD7" w:rsidRPr="00346DD7" w14:paraId="1E366C67" w14:textId="77777777" w:rsidTr="00AA5B7A">
        <w:tc>
          <w:tcPr>
            <w:tcW w:w="9180" w:type="dxa"/>
            <w:gridSpan w:val="8"/>
            <w:shd w:val="clear" w:color="auto" w:fill="auto"/>
          </w:tcPr>
          <w:p w14:paraId="4DF5AEB9" w14:textId="665E7B84" w:rsidR="00346DD7" w:rsidRDefault="00346DD7" w:rsidP="00346DD7">
            <w:pPr>
              <w:jc w:val="both"/>
              <w:rPr>
                <w:rFonts w:asciiTheme="majorHAnsi" w:hAnsiTheme="majorHAnsi" w:cstheme="majorHAnsi"/>
              </w:rPr>
            </w:pPr>
            <w:r w:rsidRPr="00346DD7">
              <w:rPr>
                <w:rFonts w:asciiTheme="majorHAnsi" w:hAnsiTheme="majorHAnsi" w:cstheme="majorHAnsi"/>
                <w:b/>
                <w:bCs/>
              </w:rPr>
              <w:t>Criterios de evaluación</w:t>
            </w:r>
            <w:r w:rsidRPr="00346DD7">
              <w:rPr>
                <w:rFonts w:asciiTheme="majorHAnsi" w:hAnsiTheme="majorHAnsi" w:cstheme="majorHAnsi"/>
              </w:rPr>
              <w:t xml:space="preserve">: </w:t>
            </w:r>
          </w:p>
          <w:p w14:paraId="048C877D" w14:textId="3D882AFD" w:rsidR="00346DD7" w:rsidRPr="00CD0328" w:rsidRDefault="00CD0328" w:rsidP="00CD0328">
            <w:pPr>
              <w:pStyle w:val="Prrafodelista"/>
              <w:numPr>
                <w:ilvl w:val="0"/>
                <w:numId w:val="24"/>
              </w:numPr>
              <w:jc w:val="both"/>
              <w:rPr>
                <w:rFonts w:asciiTheme="majorHAnsi" w:hAnsiTheme="majorHAnsi" w:cstheme="majorHAnsi"/>
              </w:rPr>
            </w:pPr>
            <w:r w:rsidRPr="00CD0328">
              <w:rPr>
                <w:rFonts w:asciiTheme="majorHAnsi" w:hAnsiTheme="majorHAnsi" w:cstheme="majorHAnsi"/>
              </w:rPr>
              <w:lastRenderedPageBreak/>
              <w:t>Relacionar la estructura de bacterias y hongos, con las alteraciones que producen en el organismo humano, para comprender las</w:t>
            </w:r>
            <w:r>
              <w:rPr>
                <w:rFonts w:asciiTheme="majorHAnsi" w:hAnsiTheme="majorHAnsi" w:cstheme="majorHAnsi"/>
              </w:rPr>
              <w:t xml:space="preserve"> </w:t>
            </w:r>
            <w:r w:rsidRPr="00CD0328">
              <w:rPr>
                <w:rFonts w:asciiTheme="majorHAnsi" w:hAnsiTheme="majorHAnsi" w:cstheme="majorHAnsi"/>
              </w:rPr>
              <w:t>enfermedades infecciosas que afectan al individuo y aportar a la recuperación de la salud.</w:t>
            </w:r>
          </w:p>
        </w:tc>
      </w:tr>
      <w:tr w:rsidR="00E0092E" w:rsidRPr="006724BB" w14:paraId="1C7162CA" w14:textId="77777777" w:rsidTr="00AA5B7A">
        <w:tc>
          <w:tcPr>
            <w:tcW w:w="9180" w:type="dxa"/>
            <w:gridSpan w:val="8"/>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lastRenderedPageBreak/>
              <w:t>Introducción:</w:t>
            </w:r>
          </w:p>
          <w:p w14:paraId="4BDDEBBF" w14:textId="77777777" w:rsidR="00346DD7" w:rsidRDefault="00AB5064" w:rsidP="00565D64">
            <w:pPr>
              <w:pStyle w:val="TableParagraph"/>
              <w:spacing w:before="9"/>
              <w:ind w:right="77"/>
              <w:jc w:val="both"/>
              <w:rPr>
                <w:rFonts w:asciiTheme="majorHAnsi" w:hAnsiTheme="majorHAnsi" w:cstheme="majorHAnsi"/>
              </w:rPr>
            </w:pPr>
            <w:r w:rsidRPr="00AB5064">
              <w:rPr>
                <w:rFonts w:asciiTheme="majorHAnsi" w:hAnsiTheme="majorHAnsi" w:cstheme="majorHAnsi"/>
              </w:rPr>
              <w:t>Las bacterias Gram positivas se diferencian de las Gram negativas en la estructura de la pared celular y en sus componentes y funciones. Los componentes de la pared celular son también exclusivos de las bacterias, y su estructura repetitiva desencadena respuestas inmunitarias innatas protectoras en el ser humano (1).</w:t>
            </w:r>
          </w:p>
          <w:p w14:paraId="3F1D4542" w14:textId="4F24B967" w:rsidR="00CE1F00" w:rsidRPr="00CE1F00" w:rsidRDefault="00CE1F00" w:rsidP="00CE1F00">
            <w:pPr>
              <w:pStyle w:val="TableParagraph"/>
              <w:spacing w:before="9"/>
              <w:ind w:right="77"/>
              <w:jc w:val="both"/>
              <w:rPr>
                <w:rFonts w:asciiTheme="majorHAnsi" w:hAnsiTheme="majorHAnsi" w:cstheme="majorHAnsi"/>
              </w:rPr>
            </w:pPr>
            <w:r w:rsidRPr="00CE1F00">
              <w:rPr>
                <w:rFonts w:asciiTheme="majorHAnsi" w:hAnsiTheme="majorHAnsi" w:cstheme="majorHAnsi"/>
              </w:rPr>
              <w:t>Las infecciones nosocomiales, que surgen durante la estadía del paciente en el establecimiento sanitario y que no están presentes o en desarrollo a su ingreso, son una de las causas primordiales del incremento de tiempo de hospitalización, elevados costos y muerte de pacientes a nivel mundial. Estas infecciones suelen afectar con regularidad heridas quirúrgicas, vías urinarias y respiratorias, además, son más prevalentes en pacientes con enfermedades subyacentes, adultos mayores o que estén bajo tratamientos quimioterápicos</w:t>
            </w:r>
            <w:r w:rsidR="008D74E7">
              <w:rPr>
                <w:rFonts w:asciiTheme="majorHAnsi" w:hAnsiTheme="majorHAnsi" w:cstheme="majorHAnsi"/>
              </w:rPr>
              <w:t xml:space="preserve"> (2)</w:t>
            </w:r>
            <w:r w:rsidRPr="00CE1F00">
              <w:rPr>
                <w:rFonts w:asciiTheme="majorHAnsi" w:hAnsiTheme="majorHAnsi" w:cstheme="majorHAnsi"/>
              </w:rPr>
              <w:t xml:space="preserve">. </w:t>
            </w:r>
          </w:p>
          <w:p w14:paraId="2106C488" w14:textId="0221BC77" w:rsidR="00CE1F00" w:rsidRPr="00685872" w:rsidRDefault="008D74E7" w:rsidP="00CE1F00">
            <w:pPr>
              <w:jc w:val="both"/>
              <w:rPr>
                <w:rFonts w:asciiTheme="majorHAnsi" w:hAnsiTheme="majorHAnsi" w:cstheme="majorHAnsi"/>
              </w:rPr>
            </w:pPr>
            <w:r w:rsidRPr="00685872">
              <w:rPr>
                <w:rFonts w:asciiTheme="majorHAnsi" w:hAnsiTheme="majorHAnsi" w:cstheme="majorHAnsi"/>
                <w:sz w:val="23"/>
                <w:szCs w:val="23"/>
              </w:rPr>
              <w:t>L</w:t>
            </w:r>
            <w:r w:rsidR="00CE1F00" w:rsidRPr="00685872">
              <w:rPr>
                <w:rFonts w:asciiTheme="majorHAnsi" w:hAnsiTheme="majorHAnsi" w:cstheme="majorHAnsi"/>
                <w:sz w:val="23"/>
                <w:szCs w:val="23"/>
              </w:rPr>
              <w:t xml:space="preserve">a OMS (2017) incluyó al </w:t>
            </w:r>
            <w:r w:rsidR="00CE1F00" w:rsidRPr="00685872">
              <w:rPr>
                <w:rFonts w:asciiTheme="majorHAnsi" w:hAnsiTheme="majorHAnsi" w:cstheme="majorHAnsi"/>
                <w:i/>
                <w:iCs/>
                <w:sz w:val="23"/>
                <w:szCs w:val="23"/>
              </w:rPr>
              <w:t xml:space="preserve">S. </w:t>
            </w:r>
            <w:proofErr w:type="spellStart"/>
            <w:r w:rsidR="00CE1F00" w:rsidRPr="00685872">
              <w:rPr>
                <w:rFonts w:asciiTheme="majorHAnsi" w:hAnsiTheme="majorHAnsi" w:cstheme="majorHAnsi"/>
                <w:i/>
                <w:iCs/>
                <w:sz w:val="23"/>
                <w:szCs w:val="23"/>
              </w:rPr>
              <w:t>Aureus</w:t>
            </w:r>
            <w:proofErr w:type="spellEnd"/>
            <w:r w:rsidR="00CE1F00" w:rsidRPr="00685872">
              <w:rPr>
                <w:rFonts w:asciiTheme="majorHAnsi" w:hAnsiTheme="majorHAnsi" w:cstheme="majorHAnsi"/>
                <w:i/>
                <w:iCs/>
                <w:sz w:val="23"/>
                <w:szCs w:val="23"/>
              </w:rPr>
              <w:t xml:space="preserve"> </w:t>
            </w:r>
            <w:proofErr w:type="spellStart"/>
            <w:r w:rsidR="00CE1F00" w:rsidRPr="00685872">
              <w:rPr>
                <w:rFonts w:asciiTheme="majorHAnsi" w:hAnsiTheme="majorHAnsi" w:cstheme="majorHAnsi"/>
                <w:sz w:val="23"/>
                <w:szCs w:val="23"/>
              </w:rPr>
              <w:t>meticilino</w:t>
            </w:r>
            <w:proofErr w:type="spellEnd"/>
            <w:r w:rsidR="00CE1F00" w:rsidRPr="00685872">
              <w:rPr>
                <w:rFonts w:asciiTheme="majorHAnsi" w:hAnsiTheme="majorHAnsi" w:cstheme="majorHAnsi"/>
                <w:sz w:val="23"/>
                <w:szCs w:val="23"/>
              </w:rPr>
              <w:t xml:space="preserve"> resistente en su lista de 12 cepas de bacterias de mayor riesgo para la salud de los individuos por ser resistente a múltiples medicamentos antibióticos. Además, se ha evidenciado que la transmisión del SARM en hospitales, del personal de salud a los pacientes y viceversa, es concluyente en el desarrollo de infecciones leves y graves, ya que la colonización a nivel nasal en ambas poblaciones, en general, es un precedente de las infecciones nosocomiales ocasionadas por esta </w:t>
            </w:r>
            <w:r w:rsidRPr="00685872">
              <w:rPr>
                <w:rFonts w:asciiTheme="majorHAnsi" w:hAnsiTheme="majorHAnsi" w:cstheme="majorHAnsi"/>
                <w:sz w:val="23"/>
                <w:szCs w:val="23"/>
              </w:rPr>
              <w:t>bacteria</w:t>
            </w:r>
            <w:r w:rsidRPr="00685872">
              <w:rPr>
                <w:rFonts w:asciiTheme="majorHAnsi" w:hAnsiTheme="majorHAnsi" w:cstheme="majorHAnsi"/>
              </w:rPr>
              <w:t xml:space="preserve"> (</w:t>
            </w:r>
            <w:r w:rsidR="00685872" w:rsidRPr="00685872">
              <w:rPr>
                <w:rFonts w:asciiTheme="majorHAnsi" w:hAnsiTheme="majorHAnsi" w:cstheme="majorHAnsi"/>
              </w:rPr>
              <w:t>3</w:t>
            </w:r>
            <w:r w:rsidRPr="00685872">
              <w:rPr>
                <w:rFonts w:asciiTheme="majorHAnsi" w:hAnsiTheme="majorHAnsi" w:cstheme="majorHAnsi"/>
              </w:rPr>
              <w:t>).</w:t>
            </w:r>
          </w:p>
          <w:p w14:paraId="393BD8B8" w14:textId="41CD4B1F" w:rsidR="003124EC" w:rsidRPr="00685872" w:rsidRDefault="00685872" w:rsidP="00CE1F00">
            <w:pPr>
              <w:jc w:val="both"/>
              <w:rPr>
                <w:rFonts w:asciiTheme="majorHAnsi" w:hAnsiTheme="majorHAnsi" w:cstheme="majorHAnsi"/>
              </w:rPr>
            </w:pPr>
            <w:r w:rsidRPr="00685872">
              <w:rPr>
                <w:rFonts w:asciiTheme="majorHAnsi" w:hAnsiTheme="majorHAnsi" w:cstheme="majorHAnsi"/>
              </w:rPr>
              <w:t>Según la OMS en 2023, l</w:t>
            </w:r>
            <w:r w:rsidR="003124EC" w:rsidRPr="00685872">
              <w:rPr>
                <w:rFonts w:asciiTheme="majorHAnsi" w:hAnsiTheme="majorHAnsi" w:cstheme="majorHAnsi"/>
              </w:rPr>
              <w:t>a gonorrea es</w:t>
            </w:r>
            <w:r w:rsidRPr="00685872">
              <w:rPr>
                <w:rFonts w:asciiTheme="majorHAnsi" w:hAnsiTheme="majorHAnsi" w:cstheme="majorHAnsi"/>
              </w:rPr>
              <w:t xml:space="preserve"> considerada como</w:t>
            </w:r>
            <w:r w:rsidR="003124EC" w:rsidRPr="00685872">
              <w:rPr>
                <w:rFonts w:asciiTheme="majorHAnsi" w:hAnsiTheme="majorHAnsi" w:cstheme="majorHAnsi"/>
              </w:rPr>
              <w:t xml:space="preserve"> una infección de transmisión sexual prevenible y curable causada por la bacteria </w:t>
            </w:r>
            <w:proofErr w:type="spellStart"/>
            <w:r w:rsidR="003124EC" w:rsidRPr="00685872">
              <w:rPr>
                <w:rFonts w:asciiTheme="majorHAnsi" w:hAnsiTheme="majorHAnsi" w:cstheme="majorHAnsi"/>
                <w:i/>
                <w:iCs/>
              </w:rPr>
              <w:t>Neisseria</w:t>
            </w:r>
            <w:proofErr w:type="spellEnd"/>
            <w:r w:rsidR="003124EC" w:rsidRPr="00685872">
              <w:rPr>
                <w:rFonts w:asciiTheme="majorHAnsi" w:hAnsiTheme="majorHAnsi" w:cstheme="majorHAnsi"/>
                <w:i/>
                <w:iCs/>
              </w:rPr>
              <w:t xml:space="preserve"> </w:t>
            </w:r>
            <w:proofErr w:type="spellStart"/>
            <w:r w:rsidR="003124EC" w:rsidRPr="00685872">
              <w:rPr>
                <w:rFonts w:asciiTheme="majorHAnsi" w:hAnsiTheme="majorHAnsi" w:cstheme="majorHAnsi"/>
                <w:i/>
                <w:iCs/>
              </w:rPr>
              <w:t>gonorrhoeae</w:t>
            </w:r>
            <w:proofErr w:type="spellEnd"/>
            <w:r w:rsidR="003124EC" w:rsidRPr="00685872">
              <w:rPr>
                <w:rFonts w:asciiTheme="majorHAnsi" w:hAnsiTheme="majorHAnsi" w:cstheme="majorHAnsi"/>
              </w:rPr>
              <w:t xml:space="preserve">, que se transmite principalmente a través de las relaciones sexuales vaginales, orales y anales. Se estima que en 2020 hubo 82,4 millones de nuevas infecciones en adultos en todo el mundo. La mayoría de las mujeres con gonorrea son asintomáticas. Si se presentan síntomas, es frecuente que haya secreción vaginal, mientras que en la mayoría de los hombres hay secreción por el pene. Si no se recibe tratamiento para la gonorrea, puede provocar infertilidad tanto en hombres como en mujeres y otras complicaciones asociadas a la salud sexual y reproductiva. Asimismo, aumenta el riesgo de infección por el virus de la inmunodeficiencia humana (VIH). La aparición de </w:t>
            </w:r>
            <w:proofErr w:type="spellStart"/>
            <w:r w:rsidR="003124EC" w:rsidRPr="00685872">
              <w:rPr>
                <w:rFonts w:asciiTheme="majorHAnsi" w:hAnsiTheme="majorHAnsi" w:cstheme="majorHAnsi"/>
                <w:i/>
                <w:iCs/>
              </w:rPr>
              <w:t>Neisseria</w:t>
            </w:r>
            <w:proofErr w:type="spellEnd"/>
            <w:r w:rsidR="003124EC" w:rsidRPr="00685872">
              <w:rPr>
                <w:rFonts w:asciiTheme="majorHAnsi" w:hAnsiTheme="majorHAnsi" w:cstheme="majorHAnsi"/>
                <w:i/>
                <w:iCs/>
              </w:rPr>
              <w:t xml:space="preserve"> </w:t>
            </w:r>
            <w:proofErr w:type="spellStart"/>
            <w:r w:rsidR="003124EC" w:rsidRPr="00685872">
              <w:rPr>
                <w:rFonts w:asciiTheme="majorHAnsi" w:hAnsiTheme="majorHAnsi" w:cstheme="majorHAnsi"/>
                <w:i/>
                <w:iCs/>
              </w:rPr>
              <w:t>gonorrhoeae</w:t>
            </w:r>
            <w:proofErr w:type="spellEnd"/>
            <w:r w:rsidR="003124EC" w:rsidRPr="00685872">
              <w:rPr>
                <w:rFonts w:asciiTheme="majorHAnsi" w:hAnsiTheme="majorHAnsi" w:cstheme="majorHAnsi"/>
              </w:rPr>
              <w:t xml:space="preserve"> resistente a los antimicrobianos es un problema grave y creciente que provoca que muchas clases de antibióticos sean ineficaces, y existe el riesgo de que la enfermedad acabe siendo intratable</w:t>
            </w:r>
            <w:r w:rsidR="007F5E61">
              <w:rPr>
                <w:rFonts w:asciiTheme="majorHAnsi" w:hAnsiTheme="majorHAnsi" w:cstheme="majorHAnsi"/>
              </w:rPr>
              <w:t xml:space="preserve"> (4).</w:t>
            </w:r>
          </w:p>
          <w:p w14:paraId="28E9626B" w14:textId="6116B4A7" w:rsidR="00CE1F00" w:rsidRPr="006724BB" w:rsidRDefault="00CE1F00" w:rsidP="00565D64">
            <w:pPr>
              <w:pStyle w:val="TableParagraph"/>
              <w:spacing w:before="9"/>
              <w:ind w:right="77"/>
              <w:jc w:val="both"/>
              <w:rPr>
                <w:rFonts w:asciiTheme="majorHAnsi" w:hAnsiTheme="majorHAnsi" w:cstheme="majorHAnsi"/>
              </w:rPr>
            </w:pPr>
          </w:p>
        </w:tc>
      </w:tr>
      <w:tr w:rsidR="00346DD7" w:rsidRPr="006724BB" w14:paraId="00FCD761" w14:textId="77777777" w:rsidTr="00C750B8">
        <w:trPr>
          <w:trHeight w:val="168"/>
        </w:trPr>
        <w:tc>
          <w:tcPr>
            <w:tcW w:w="1963"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217" w:type="dxa"/>
            <w:gridSpan w:val="7"/>
            <w:shd w:val="clear" w:color="auto" w:fill="auto"/>
          </w:tcPr>
          <w:p w14:paraId="2430D8E0" w14:textId="20482C93" w:rsidR="00346DD7" w:rsidRPr="00CE1F00" w:rsidRDefault="00C750B8" w:rsidP="00CE1F00">
            <w:pPr>
              <w:pStyle w:val="Prrafodelista"/>
              <w:numPr>
                <w:ilvl w:val="0"/>
                <w:numId w:val="17"/>
              </w:numPr>
              <w:jc w:val="both"/>
              <w:rPr>
                <w:rFonts w:asciiTheme="majorHAnsi" w:hAnsiTheme="majorHAnsi" w:cstheme="majorHAnsi"/>
                <w:bCs/>
              </w:rPr>
            </w:pPr>
            <w:r w:rsidRPr="00CE1F00">
              <w:rPr>
                <w:rFonts w:asciiTheme="majorHAnsi" w:hAnsiTheme="majorHAnsi" w:cstheme="majorHAnsi"/>
                <w:bCs/>
              </w:rPr>
              <w:t>Artículo</w:t>
            </w:r>
            <w:r w:rsidR="00CE1F00" w:rsidRPr="00CE1F00">
              <w:rPr>
                <w:rFonts w:asciiTheme="majorHAnsi" w:hAnsiTheme="majorHAnsi" w:cstheme="majorHAnsi"/>
                <w:bCs/>
              </w:rPr>
              <w:t xml:space="preserve"> 1. Prevalencia de </w:t>
            </w:r>
            <w:proofErr w:type="spellStart"/>
            <w:r w:rsidR="00CE1F00" w:rsidRPr="00CE1F00">
              <w:rPr>
                <w:rFonts w:asciiTheme="majorHAnsi" w:hAnsiTheme="majorHAnsi" w:cstheme="majorHAnsi"/>
                <w:bCs/>
                <w:i/>
                <w:iCs/>
              </w:rPr>
              <w:t>Staphylococcus</w:t>
            </w:r>
            <w:proofErr w:type="spellEnd"/>
            <w:r w:rsidR="00CE1F00" w:rsidRPr="00CE1F00">
              <w:rPr>
                <w:rFonts w:asciiTheme="majorHAnsi" w:hAnsiTheme="majorHAnsi" w:cstheme="majorHAnsi"/>
                <w:bCs/>
                <w:i/>
                <w:iCs/>
              </w:rPr>
              <w:t xml:space="preserve"> </w:t>
            </w:r>
            <w:proofErr w:type="spellStart"/>
            <w:r w:rsidR="00CE1F00" w:rsidRPr="00CE1F00">
              <w:rPr>
                <w:rFonts w:asciiTheme="majorHAnsi" w:hAnsiTheme="majorHAnsi" w:cstheme="majorHAnsi"/>
                <w:bCs/>
                <w:i/>
                <w:iCs/>
              </w:rPr>
              <w:t>aureus</w:t>
            </w:r>
            <w:proofErr w:type="spellEnd"/>
            <w:r w:rsidR="00CE1F00" w:rsidRPr="00CE1F00">
              <w:rPr>
                <w:rFonts w:asciiTheme="majorHAnsi" w:hAnsiTheme="majorHAnsi" w:cstheme="majorHAnsi"/>
                <w:bCs/>
              </w:rPr>
              <w:t xml:space="preserve"> </w:t>
            </w:r>
            <w:proofErr w:type="spellStart"/>
            <w:r w:rsidR="00CE1F00" w:rsidRPr="00CE1F00">
              <w:rPr>
                <w:rFonts w:asciiTheme="majorHAnsi" w:hAnsiTheme="majorHAnsi" w:cstheme="majorHAnsi"/>
                <w:bCs/>
              </w:rPr>
              <w:t>meticilino</w:t>
            </w:r>
            <w:proofErr w:type="spellEnd"/>
            <w:r w:rsidR="00CE1F00" w:rsidRPr="00CE1F00">
              <w:rPr>
                <w:rFonts w:asciiTheme="majorHAnsi" w:hAnsiTheme="majorHAnsi" w:cstheme="majorHAnsi"/>
                <w:bCs/>
              </w:rPr>
              <w:t xml:space="preserve"> resistente en el personal de salud de un Hospital de Especialidades en Quito-Ecuador</w:t>
            </w:r>
          </w:p>
        </w:tc>
      </w:tr>
      <w:tr w:rsidR="00552DD3" w:rsidRPr="006724BB" w14:paraId="7A3D84C1" w14:textId="77777777" w:rsidTr="00C750B8">
        <w:tc>
          <w:tcPr>
            <w:tcW w:w="1963"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217" w:type="dxa"/>
            <w:gridSpan w:val="7"/>
            <w:shd w:val="clear" w:color="auto" w:fill="auto"/>
          </w:tcPr>
          <w:p w14:paraId="430D8F41" w14:textId="57AB4D60" w:rsidR="00552DD3" w:rsidRPr="00685872" w:rsidRDefault="00685872" w:rsidP="00685872">
            <w:pPr>
              <w:pStyle w:val="Prrafodelista"/>
              <w:numPr>
                <w:ilvl w:val="0"/>
                <w:numId w:val="17"/>
              </w:numPr>
              <w:spacing w:line="360" w:lineRule="auto"/>
              <w:rPr>
                <w:rFonts w:asciiTheme="majorHAnsi" w:hAnsiTheme="majorHAnsi" w:cstheme="majorHAnsi"/>
                <w:bCs/>
              </w:rPr>
            </w:pPr>
            <w:r>
              <w:rPr>
                <w:rFonts w:asciiTheme="majorHAnsi" w:hAnsiTheme="majorHAnsi" w:cstheme="majorHAnsi"/>
                <w:bCs/>
              </w:rPr>
              <w:t xml:space="preserve">Artículo 2. </w:t>
            </w:r>
            <w:r w:rsidRPr="00685872">
              <w:rPr>
                <w:rFonts w:asciiTheme="majorHAnsi" w:hAnsiTheme="majorHAnsi" w:cstheme="majorHAnsi"/>
                <w:bCs/>
              </w:rPr>
              <w:t>Gonorrea y embarazo: a propósito de</w:t>
            </w:r>
            <w:r>
              <w:rPr>
                <w:rFonts w:asciiTheme="majorHAnsi" w:hAnsiTheme="majorHAnsi" w:cstheme="majorHAnsi"/>
                <w:bCs/>
              </w:rPr>
              <w:t xml:space="preserve"> </w:t>
            </w:r>
            <w:r w:rsidRPr="00685872">
              <w:rPr>
                <w:rFonts w:asciiTheme="majorHAnsi" w:hAnsiTheme="majorHAnsi" w:cstheme="majorHAnsi"/>
                <w:bCs/>
              </w:rPr>
              <w:t>dos casos</w:t>
            </w:r>
          </w:p>
        </w:tc>
      </w:tr>
      <w:tr w:rsidR="00552DD3" w:rsidRPr="006724BB" w14:paraId="511715E9" w14:textId="77777777" w:rsidTr="00C750B8">
        <w:tc>
          <w:tcPr>
            <w:tcW w:w="1963" w:type="dxa"/>
            <w:vMerge/>
            <w:shd w:val="clear" w:color="auto" w:fill="auto"/>
          </w:tcPr>
          <w:p w14:paraId="251ADFA5" w14:textId="77777777" w:rsidR="00552DD3" w:rsidRPr="006724BB" w:rsidRDefault="00552DD3" w:rsidP="00552DD3">
            <w:pPr>
              <w:rPr>
                <w:rFonts w:asciiTheme="majorHAnsi" w:hAnsiTheme="majorHAnsi" w:cstheme="majorHAnsi"/>
              </w:rPr>
            </w:pPr>
          </w:p>
        </w:tc>
        <w:tc>
          <w:tcPr>
            <w:tcW w:w="7217" w:type="dxa"/>
            <w:gridSpan w:val="7"/>
            <w:shd w:val="clear" w:color="auto" w:fill="auto"/>
          </w:tcPr>
          <w:p w14:paraId="7C93E723" w14:textId="5F1026C9" w:rsidR="00552DD3" w:rsidRPr="006724BB" w:rsidRDefault="00552DD3" w:rsidP="00552DD3">
            <w:pPr>
              <w:pStyle w:val="Prrafodelista"/>
              <w:numPr>
                <w:ilvl w:val="0"/>
                <w:numId w:val="17"/>
              </w:numPr>
              <w:spacing w:line="360" w:lineRule="auto"/>
              <w:rPr>
                <w:rFonts w:asciiTheme="majorHAnsi" w:hAnsiTheme="majorHAnsi" w:cstheme="majorHAnsi"/>
                <w:bCs/>
              </w:rPr>
            </w:pPr>
          </w:p>
        </w:tc>
      </w:tr>
      <w:tr w:rsidR="008127CE" w:rsidRPr="006724BB" w14:paraId="75384331" w14:textId="77777777" w:rsidTr="00C750B8">
        <w:tc>
          <w:tcPr>
            <w:tcW w:w="1963" w:type="dxa"/>
            <w:vMerge/>
            <w:shd w:val="clear" w:color="auto" w:fill="auto"/>
          </w:tcPr>
          <w:p w14:paraId="7DB07092" w14:textId="77777777" w:rsidR="008127CE" w:rsidRPr="006724BB" w:rsidRDefault="008127CE" w:rsidP="00552DD3">
            <w:pPr>
              <w:rPr>
                <w:rFonts w:asciiTheme="majorHAnsi" w:hAnsiTheme="majorHAnsi" w:cstheme="majorHAnsi"/>
              </w:rPr>
            </w:pPr>
          </w:p>
        </w:tc>
        <w:tc>
          <w:tcPr>
            <w:tcW w:w="7217" w:type="dxa"/>
            <w:gridSpan w:val="7"/>
            <w:shd w:val="clear" w:color="auto" w:fill="auto"/>
          </w:tcPr>
          <w:p w14:paraId="774034D8" w14:textId="62C1042E" w:rsidR="006724BB" w:rsidRPr="00685872" w:rsidRDefault="006724BB" w:rsidP="00685872">
            <w:pPr>
              <w:pStyle w:val="Prrafodelista"/>
              <w:numPr>
                <w:ilvl w:val="0"/>
                <w:numId w:val="17"/>
              </w:numPr>
              <w:spacing w:line="360" w:lineRule="auto"/>
              <w:rPr>
                <w:rFonts w:asciiTheme="majorHAnsi" w:hAnsiTheme="majorHAnsi" w:cstheme="majorHAnsi"/>
                <w:bCs/>
              </w:rPr>
            </w:pPr>
          </w:p>
        </w:tc>
      </w:tr>
      <w:tr w:rsidR="00552DD3" w:rsidRPr="006724BB" w14:paraId="3BA9D187" w14:textId="77777777" w:rsidTr="00C750B8">
        <w:tc>
          <w:tcPr>
            <w:tcW w:w="1963"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323"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230" w:type="dxa"/>
            <w:gridSpan w:val="3"/>
            <w:shd w:val="clear" w:color="auto" w:fill="auto"/>
          </w:tcPr>
          <w:p w14:paraId="0BC6CE09" w14:textId="77777777" w:rsidR="00552DD3" w:rsidRPr="006724BB" w:rsidRDefault="00552DD3" w:rsidP="00552DD3">
            <w:pPr>
              <w:rPr>
                <w:rFonts w:asciiTheme="majorHAnsi" w:hAnsiTheme="majorHAnsi" w:cstheme="majorHAnsi"/>
              </w:rPr>
            </w:pPr>
          </w:p>
        </w:tc>
        <w:tc>
          <w:tcPr>
            <w:tcW w:w="2664"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C750B8">
        <w:tc>
          <w:tcPr>
            <w:tcW w:w="1963"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323"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230" w:type="dxa"/>
            <w:gridSpan w:val="3"/>
            <w:shd w:val="clear" w:color="auto" w:fill="auto"/>
          </w:tcPr>
          <w:p w14:paraId="5C383555" w14:textId="77777777" w:rsidR="00552DD3" w:rsidRPr="006724BB" w:rsidRDefault="00552DD3" w:rsidP="00552DD3">
            <w:pPr>
              <w:rPr>
                <w:rFonts w:asciiTheme="majorHAnsi" w:hAnsiTheme="majorHAnsi" w:cstheme="majorHAnsi"/>
              </w:rPr>
            </w:pPr>
          </w:p>
        </w:tc>
        <w:tc>
          <w:tcPr>
            <w:tcW w:w="2664"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C750B8">
        <w:trPr>
          <w:trHeight w:val="41"/>
        </w:trPr>
        <w:tc>
          <w:tcPr>
            <w:tcW w:w="4659" w:type="dxa"/>
            <w:gridSpan w:val="4"/>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4521" w:type="dxa"/>
            <w:gridSpan w:val="4"/>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3D1B64" w:rsidRPr="006724BB" w14:paraId="5807C79B" w14:textId="77777777" w:rsidTr="00C750B8">
        <w:trPr>
          <w:trHeight w:val="29"/>
        </w:trPr>
        <w:tc>
          <w:tcPr>
            <w:tcW w:w="4659" w:type="dxa"/>
            <w:gridSpan w:val="4"/>
            <w:shd w:val="clear" w:color="auto" w:fill="auto"/>
          </w:tcPr>
          <w:p w14:paraId="2F8005AF" w14:textId="1E09AB0A" w:rsidR="003D1B64" w:rsidRPr="00685872" w:rsidRDefault="008D74E7" w:rsidP="00133F20">
            <w:pPr>
              <w:pStyle w:val="Prrafodelista"/>
              <w:numPr>
                <w:ilvl w:val="0"/>
                <w:numId w:val="37"/>
              </w:numPr>
              <w:ind w:left="306" w:hanging="306"/>
              <w:jc w:val="both"/>
              <w:rPr>
                <w:rFonts w:asciiTheme="majorHAnsi" w:hAnsiTheme="majorHAnsi" w:cstheme="majorHAnsi"/>
                <w:caps/>
              </w:rPr>
            </w:pPr>
            <w:r>
              <w:rPr>
                <w:rFonts w:asciiTheme="majorHAnsi" w:hAnsiTheme="majorHAnsi" w:cstheme="majorHAnsi"/>
              </w:rPr>
              <w:t xml:space="preserve">Analizar el articulo </w:t>
            </w:r>
            <w:r w:rsidR="00685872">
              <w:rPr>
                <w:rFonts w:asciiTheme="majorHAnsi" w:hAnsiTheme="majorHAnsi" w:cstheme="majorHAnsi"/>
              </w:rPr>
              <w:t xml:space="preserve">1 </w:t>
            </w:r>
            <w:r>
              <w:rPr>
                <w:rFonts w:asciiTheme="majorHAnsi" w:hAnsiTheme="majorHAnsi" w:cstheme="majorHAnsi"/>
              </w:rPr>
              <w:t>y</w:t>
            </w:r>
            <w:r w:rsidR="00133F20">
              <w:rPr>
                <w:rFonts w:asciiTheme="majorHAnsi" w:hAnsiTheme="majorHAnsi" w:cstheme="majorHAnsi"/>
              </w:rPr>
              <w:t xml:space="preserve"> en base al mismo</w:t>
            </w:r>
            <w:r w:rsidR="008B1AA1">
              <w:rPr>
                <w:rFonts w:asciiTheme="majorHAnsi" w:hAnsiTheme="majorHAnsi" w:cstheme="majorHAnsi"/>
              </w:rPr>
              <w:t xml:space="preserve">, </w:t>
            </w:r>
            <w:r w:rsidR="00133F20">
              <w:rPr>
                <w:rFonts w:asciiTheme="majorHAnsi" w:hAnsiTheme="majorHAnsi" w:cstheme="majorHAnsi"/>
              </w:rPr>
              <w:t>elabore</w:t>
            </w:r>
            <w:r>
              <w:rPr>
                <w:rFonts w:asciiTheme="majorHAnsi" w:hAnsiTheme="majorHAnsi" w:cstheme="majorHAnsi"/>
              </w:rPr>
              <w:t xml:space="preserve"> una tabla con la siguiente información concreta: </w:t>
            </w:r>
            <w:r w:rsidR="00D4505C">
              <w:rPr>
                <w:rFonts w:asciiTheme="majorHAnsi" w:hAnsiTheme="majorHAnsi" w:cstheme="majorHAnsi"/>
              </w:rPr>
              <w:t xml:space="preserve">características microbiológicas del microorganismo patógeno, lugares de colonización, infecciones que provoca, lugar </w:t>
            </w:r>
            <w:r w:rsidR="00661DFB">
              <w:rPr>
                <w:rFonts w:asciiTheme="majorHAnsi" w:hAnsiTheme="majorHAnsi" w:cstheme="majorHAnsi"/>
              </w:rPr>
              <w:t xml:space="preserve">de </w:t>
            </w:r>
            <w:r w:rsidR="00D4505C">
              <w:rPr>
                <w:rFonts w:asciiTheme="majorHAnsi" w:hAnsiTheme="majorHAnsi" w:cstheme="majorHAnsi"/>
              </w:rPr>
              <w:t>la investigación,</w:t>
            </w:r>
            <w:r w:rsidR="00661DFB">
              <w:rPr>
                <w:rFonts w:asciiTheme="majorHAnsi" w:hAnsiTheme="majorHAnsi" w:cstheme="majorHAnsi"/>
              </w:rPr>
              <w:t xml:space="preserve"> áreas de trabajo de personal de salud</w:t>
            </w:r>
            <w:r w:rsidR="00D4505C">
              <w:rPr>
                <w:rFonts w:asciiTheme="majorHAnsi" w:hAnsiTheme="majorHAnsi" w:cstheme="majorHAnsi"/>
              </w:rPr>
              <w:t xml:space="preserve"> población estudiada, forma de recolección de la muestra, </w:t>
            </w:r>
            <w:r w:rsidR="00133F20">
              <w:rPr>
                <w:rFonts w:asciiTheme="majorHAnsi" w:hAnsiTheme="majorHAnsi" w:cstheme="majorHAnsi"/>
              </w:rPr>
              <w:t xml:space="preserve">gérmenes identificados, </w:t>
            </w:r>
            <w:r w:rsidR="00661DFB">
              <w:rPr>
                <w:rFonts w:asciiTheme="majorHAnsi" w:hAnsiTheme="majorHAnsi" w:cstheme="majorHAnsi"/>
              </w:rPr>
              <w:t xml:space="preserve">sujetos positivos a </w:t>
            </w:r>
            <w:r w:rsidR="00661DFB" w:rsidRPr="00661DFB">
              <w:rPr>
                <w:rFonts w:asciiTheme="majorHAnsi" w:hAnsiTheme="majorHAnsi" w:cstheme="majorHAnsi"/>
                <w:i/>
                <w:iCs/>
              </w:rPr>
              <w:t xml:space="preserve">S. </w:t>
            </w:r>
            <w:proofErr w:type="spellStart"/>
            <w:r w:rsidR="00661DFB" w:rsidRPr="00661DFB">
              <w:rPr>
                <w:rFonts w:asciiTheme="majorHAnsi" w:hAnsiTheme="majorHAnsi" w:cstheme="majorHAnsi"/>
                <w:i/>
                <w:iCs/>
              </w:rPr>
              <w:t>aureus</w:t>
            </w:r>
            <w:proofErr w:type="spellEnd"/>
            <w:r w:rsidR="00661DFB">
              <w:rPr>
                <w:rFonts w:asciiTheme="majorHAnsi" w:hAnsiTheme="majorHAnsi" w:cstheme="majorHAnsi"/>
              </w:rPr>
              <w:t>, sujetos positivos SARM</w:t>
            </w:r>
            <w:r w:rsidR="00133F20">
              <w:rPr>
                <w:rFonts w:asciiTheme="majorHAnsi" w:hAnsiTheme="majorHAnsi" w:cstheme="majorHAnsi"/>
              </w:rPr>
              <w:t xml:space="preserve">, prevalencia de SARM por áreas de salud. </w:t>
            </w:r>
          </w:p>
          <w:p w14:paraId="6B11FC75" w14:textId="2C641BBA" w:rsidR="00685872" w:rsidRPr="008D74E7" w:rsidRDefault="00685872" w:rsidP="000E04A5">
            <w:pPr>
              <w:pStyle w:val="Prrafodelista"/>
              <w:ind w:left="306"/>
              <w:jc w:val="both"/>
              <w:rPr>
                <w:rFonts w:asciiTheme="majorHAnsi" w:hAnsiTheme="majorHAnsi" w:cstheme="majorHAnsi"/>
                <w:caps/>
              </w:rPr>
            </w:pPr>
          </w:p>
        </w:tc>
        <w:tc>
          <w:tcPr>
            <w:tcW w:w="4521" w:type="dxa"/>
            <w:gridSpan w:val="4"/>
            <w:vMerge w:val="restart"/>
            <w:shd w:val="clear" w:color="auto" w:fill="auto"/>
          </w:tcPr>
          <w:p w14:paraId="59DF8CCA" w14:textId="77777777" w:rsidR="00AB5064" w:rsidRPr="00AB5064" w:rsidRDefault="00AB5064" w:rsidP="00AB5064">
            <w:pPr>
              <w:pStyle w:val="TableParagraph"/>
              <w:ind w:right="85"/>
              <w:jc w:val="both"/>
              <w:rPr>
                <w:rFonts w:asciiTheme="majorHAnsi" w:hAnsiTheme="majorHAnsi" w:cstheme="majorHAnsi"/>
                <w:position w:val="2"/>
              </w:rPr>
            </w:pPr>
            <w:r w:rsidRPr="00AB5064">
              <w:rPr>
                <w:rFonts w:asciiTheme="majorHAnsi" w:hAnsiTheme="majorHAnsi" w:cstheme="majorHAnsi"/>
                <w:b/>
              </w:rPr>
              <w:t>Bacterias grampositivas vs gramnegativas</w:t>
            </w:r>
            <w:r w:rsidRPr="00AB5064">
              <w:rPr>
                <w:rFonts w:asciiTheme="majorHAnsi" w:hAnsiTheme="majorHAnsi" w:cstheme="majorHAnsi"/>
                <w:b/>
                <w:spacing w:val="1"/>
              </w:rPr>
              <w:t xml:space="preserve"> </w:t>
            </w:r>
          </w:p>
          <w:p w14:paraId="702908A2" w14:textId="77777777" w:rsidR="00AB5064" w:rsidRPr="00AB5064" w:rsidRDefault="00AB5064" w:rsidP="00AB5064">
            <w:pPr>
              <w:pStyle w:val="TableParagraph"/>
              <w:ind w:right="171"/>
              <w:jc w:val="both"/>
              <w:rPr>
                <w:rFonts w:asciiTheme="majorHAnsi" w:hAnsiTheme="majorHAnsi" w:cstheme="majorHAnsi"/>
              </w:rPr>
            </w:pPr>
            <w:r w:rsidRPr="00AB5064">
              <w:rPr>
                <w:rFonts w:asciiTheme="majorHAnsi" w:hAnsiTheme="majorHAnsi" w:cstheme="majorHAnsi"/>
              </w:rPr>
              <w:t>Las</w:t>
            </w:r>
            <w:r w:rsidRPr="00AB5064">
              <w:rPr>
                <w:rFonts w:asciiTheme="majorHAnsi" w:hAnsiTheme="majorHAnsi" w:cstheme="majorHAnsi"/>
                <w:spacing w:val="1"/>
              </w:rPr>
              <w:t xml:space="preserve"> </w:t>
            </w:r>
            <w:r w:rsidRPr="00AB5064">
              <w:rPr>
                <w:rFonts w:asciiTheme="majorHAnsi" w:hAnsiTheme="majorHAnsi" w:cstheme="majorHAnsi"/>
                <w:b/>
                <w:color w:val="933634"/>
              </w:rPr>
              <w:t>bacterias</w:t>
            </w:r>
            <w:r w:rsidRPr="00AB5064">
              <w:rPr>
                <w:rFonts w:asciiTheme="majorHAnsi" w:hAnsiTheme="majorHAnsi" w:cstheme="majorHAnsi"/>
                <w:b/>
                <w:color w:val="933634"/>
                <w:spacing w:val="1"/>
              </w:rPr>
              <w:t xml:space="preserve"> </w:t>
            </w:r>
            <w:r w:rsidRPr="00AB5064">
              <w:rPr>
                <w:rFonts w:asciiTheme="majorHAnsi" w:hAnsiTheme="majorHAnsi" w:cstheme="majorHAnsi"/>
                <w:b/>
                <w:color w:val="933634"/>
              </w:rPr>
              <w:t>gramnegativas</w:t>
            </w:r>
            <w:r w:rsidRPr="00AB5064">
              <w:rPr>
                <w:rFonts w:asciiTheme="majorHAnsi" w:hAnsiTheme="majorHAnsi" w:cstheme="majorHAnsi"/>
                <w:b/>
                <w:color w:val="933634"/>
                <w:spacing w:val="1"/>
              </w:rPr>
              <w:t xml:space="preserve"> </w:t>
            </w:r>
            <w:r w:rsidRPr="00AB5064">
              <w:rPr>
                <w:rFonts w:asciiTheme="majorHAnsi" w:hAnsiTheme="majorHAnsi" w:cstheme="majorHAnsi"/>
              </w:rPr>
              <w:t>están</w:t>
            </w:r>
            <w:r w:rsidRPr="00AB5064">
              <w:rPr>
                <w:rFonts w:asciiTheme="majorHAnsi" w:hAnsiTheme="majorHAnsi" w:cstheme="majorHAnsi"/>
                <w:spacing w:val="1"/>
              </w:rPr>
              <w:t xml:space="preserve"> </w:t>
            </w:r>
            <w:r w:rsidRPr="00AB5064">
              <w:rPr>
                <w:rFonts w:asciiTheme="majorHAnsi" w:hAnsiTheme="majorHAnsi" w:cstheme="majorHAnsi"/>
              </w:rPr>
              <w:t>envueltas</w:t>
            </w:r>
            <w:r w:rsidRPr="00AB5064">
              <w:rPr>
                <w:rFonts w:asciiTheme="majorHAnsi" w:hAnsiTheme="majorHAnsi" w:cstheme="majorHAnsi"/>
                <w:spacing w:val="1"/>
              </w:rPr>
              <w:t xml:space="preserve"> </w:t>
            </w:r>
            <w:r w:rsidRPr="00AB5064">
              <w:rPr>
                <w:rFonts w:asciiTheme="majorHAnsi" w:hAnsiTheme="majorHAnsi" w:cstheme="majorHAnsi"/>
              </w:rPr>
              <w:t>además</w:t>
            </w:r>
            <w:r w:rsidRPr="00AB5064">
              <w:rPr>
                <w:rFonts w:asciiTheme="majorHAnsi" w:hAnsiTheme="majorHAnsi" w:cstheme="majorHAnsi"/>
                <w:spacing w:val="1"/>
              </w:rPr>
              <w:t xml:space="preserve"> </w:t>
            </w:r>
            <w:r w:rsidRPr="00AB5064">
              <w:rPr>
                <w:rFonts w:asciiTheme="majorHAnsi" w:hAnsiTheme="majorHAnsi" w:cstheme="majorHAnsi"/>
              </w:rPr>
              <w:t>por</w:t>
            </w:r>
            <w:r w:rsidRPr="00AB5064">
              <w:rPr>
                <w:rFonts w:asciiTheme="majorHAnsi" w:hAnsiTheme="majorHAnsi" w:cstheme="majorHAnsi"/>
                <w:spacing w:val="1"/>
              </w:rPr>
              <w:t xml:space="preserve"> </w:t>
            </w:r>
            <w:r w:rsidRPr="00AB5064">
              <w:rPr>
                <w:rFonts w:asciiTheme="majorHAnsi" w:hAnsiTheme="majorHAnsi" w:cstheme="majorHAnsi"/>
              </w:rPr>
              <w:t>una</w:t>
            </w:r>
            <w:r w:rsidRPr="00AB5064">
              <w:rPr>
                <w:rFonts w:asciiTheme="majorHAnsi" w:hAnsiTheme="majorHAnsi" w:cstheme="majorHAnsi"/>
                <w:spacing w:val="1"/>
              </w:rPr>
              <w:t xml:space="preserve"> </w:t>
            </w:r>
            <w:r w:rsidRPr="00AB5064">
              <w:rPr>
                <w:rFonts w:asciiTheme="majorHAnsi" w:hAnsiTheme="majorHAnsi" w:cstheme="majorHAnsi"/>
              </w:rPr>
              <w:t>membrana</w:t>
            </w:r>
            <w:r w:rsidRPr="00AB5064">
              <w:rPr>
                <w:rFonts w:asciiTheme="majorHAnsi" w:hAnsiTheme="majorHAnsi" w:cstheme="majorHAnsi"/>
                <w:spacing w:val="1"/>
              </w:rPr>
              <w:t xml:space="preserve"> </w:t>
            </w:r>
            <w:r w:rsidRPr="00AB5064">
              <w:rPr>
                <w:rFonts w:asciiTheme="majorHAnsi" w:hAnsiTheme="majorHAnsi" w:cstheme="majorHAnsi"/>
              </w:rPr>
              <w:t>externa.</w:t>
            </w:r>
          </w:p>
          <w:p w14:paraId="713D143A" w14:textId="77777777" w:rsidR="00AB5064" w:rsidRPr="00AB5064" w:rsidRDefault="00AB5064" w:rsidP="00AB5064">
            <w:pPr>
              <w:pStyle w:val="TableParagraph"/>
              <w:ind w:right="169"/>
              <w:jc w:val="both"/>
              <w:rPr>
                <w:rFonts w:asciiTheme="majorHAnsi" w:hAnsiTheme="majorHAnsi" w:cstheme="majorHAnsi"/>
                <w:position w:val="2"/>
              </w:rPr>
            </w:pPr>
            <w:r w:rsidRPr="00AB5064">
              <w:rPr>
                <w:rFonts w:asciiTheme="majorHAnsi" w:hAnsiTheme="majorHAnsi" w:cstheme="majorHAnsi"/>
              </w:rPr>
              <w:t>Una</w:t>
            </w:r>
            <w:r w:rsidRPr="00AB5064">
              <w:rPr>
                <w:rFonts w:asciiTheme="majorHAnsi" w:hAnsiTheme="majorHAnsi" w:cstheme="majorHAnsi"/>
                <w:spacing w:val="-5"/>
              </w:rPr>
              <w:t xml:space="preserve"> </w:t>
            </w:r>
            <w:r w:rsidRPr="00AB5064">
              <w:rPr>
                <w:rFonts w:asciiTheme="majorHAnsi" w:hAnsiTheme="majorHAnsi" w:cstheme="majorHAnsi"/>
                <w:b/>
                <w:color w:val="6F2F9F"/>
              </w:rPr>
              <w:t>bacteria</w:t>
            </w:r>
            <w:r w:rsidRPr="00AB5064">
              <w:rPr>
                <w:rFonts w:asciiTheme="majorHAnsi" w:hAnsiTheme="majorHAnsi" w:cstheme="majorHAnsi"/>
                <w:b/>
                <w:color w:val="6F2F9F"/>
                <w:spacing w:val="-6"/>
              </w:rPr>
              <w:t xml:space="preserve"> </w:t>
            </w:r>
            <w:r w:rsidRPr="00AB5064">
              <w:rPr>
                <w:rFonts w:asciiTheme="majorHAnsi" w:hAnsiTheme="majorHAnsi" w:cstheme="majorHAnsi"/>
                <w:b/>
                <w:color w:val="6F2F9F"/>
              </w:rPr>
              <w:t>grampositiva</w:t>
            </w:r>
            <w:r w:rsidRPr="00AB5064">
              <w:rPr>
                <w:rFonts w:asciiTheme="majorHAnsi" w:hAnsiTheme="majorHAnsi" w:cstheme="majorHAnsi"/>
                <w:b/>
                <w:color w:val="6F2F9F"/>
                <w:spacing w:val="-4"/>
              </w:rPr>
              <w:t xml:space="preserve"> </w:t>
            </w:r>
            <w:r w:rsidRPr="00AB5064">
              <w:rPr>
                <w:rFonts w:asciiTheme="majorHAnsi" w:hAnsiTheme="majorHAnsi" w:cstheme="majorHAnsi"/>
              </w:rPr>
              <w:t>posee una pared celular gruesa que consta de varias capas y está formada principalmente por peptidoglucano que rodea la membrana citoplasmática.</w:t>
            </w:r>
            <w:r w:rsidRPr="00AB5064">
              <w:rPr>
                <w:rFonts w:asciiTheme="majorHAnsi" w:hAnsiTheme="majorHAnsi" w:cstheme="majorHAnsi"/>
                <w:spacing w:val="22"/>
              </w:rPr>
              <w:t xml:space="preserve"> </w:t>
            </w:r>
            <w:r w:rsidRPr="00AB5064">
              <w:rPr>
                <w:rFonts w:asciiTheme="majorHAnsi" w:hAnsiTheme="majorHAnsi" w:cstheme="majorHAnsi"/>
              </w:rPr>
              <w:t>Si</w:t>
            </w:r>
            <w:r w:rsidRPr="00AB5064">
              <w:rPr>
                <w:rFonts w:asciiTheme="majorHAnsi" w:hAnsiTheme="majorHAnsi" w:cstheme="majorHAnsi"/>
                <w:spacing w:val="22"/>
              </w:rPr>
              <w:t xml:space="preserve"> </w:t>
            </w:r>
            <w:r w:rsidRPr="00AB5064">
              <w:rPr>
                <w:rFonts w:asciiTheme="majorHAnsi" w:hAnsiTheme="majorHAnsi" w:cstheme="majorHAnsi"/>
              </w:rPr>
              <w:t>bien</w:t>
            </w:r>
            <w:r w:rsidRPr="00AB5064">
              <w:rPr>
                <w:rFonts w:asciiTheme="majorHAnsi" w:hAnsiTheme="majorHAnsi" w:cstheme="majorHAnsi"/>
                <w:spacing w:val="24"/>
              </w:rPr>
              <w:t xml:space="preserve"> </w:t>
            </w:r>
            <w:r w:rsidRPr="00AB5064">
              <w:rPr>
                <w:rFonts w:asciiTheme="majorHAnsi" w:hAnsiTheme="majorHAnsi" w:cstheme="majorHAnsi"/>
              </w:rPr>
              <w:t>es</w:t>
            </w:r>
            <w:r w:rsidRPr="00AB5064">
              <w:rPr>
                <w:rFonts w:asciiTheme="majorHAnsi" w:hAnsiTheme="majorHAnsi" w:cstheme="majorHAnsi"/>
                <w:spacing w:val="22"/>
              </w:rPr>
              <w:t xml:space="preserve"> </w:t>
            </w:r>
            <w:r w:rsidRPr="00AB5064">
              <w:rPr>
                <w:rFonts w:asciiTheme="majorHAnsi" w:hAnsiTheme="majorHAnsi" w:cstheme="majorHAnsi"/>
              </w:rPr>
              <w:t>una</w:t>
            </w:r>
            <w:r w:rsidRPr="00AB5064">
              <w:rPr>
                <w:rFonts w:asciiTheme="majorHAnsi" w:hAnsiTheme="majorHAnsi" w:cstheme="majorHAnsi"/>
                <w:spacing w:val="23"/>
              </w:rPr>
              <w:t xml:space="preserve"> </w:t>
            </w:r>
            <w:r w:rsidRPr="00AB5064">
              <w:rPr>
                <w:rFonts w:asciiTheme="majorHAnsi" w:hAnsiTheme="majorHAnsi" w:cstheme="majorHAnsi"/>
              </w:rPr>
              <w:t>capa</w:t>
            </w:r>
            <w:r w:rsidRPr="00AB5064">
              <w:rPr>
                <w:rFonts w:asciiTheme="majorHAnsi" w:hAnsiTheme="majorHAnsi" w:cstheme="majorHAnsi"/>
                <w:spacing w:val="22"/>
              </w:rPr>
              <w:t xml:space="preserve"> </w:t>
            </w:r>
            <w:r w:rsidRPr="00AB5064">
              <w:rPr>
                <w:rFonts w:asciiTheme="majorHAnsi" w:hAnsiTheme="majorHAnsi" w:cstheme="majorHAnsi"/>
              </w:rPr>
              <w:t>gruesa</w:t>
            </w:r>
            <w:r w:rsidRPr="00AB5064">
              <w:rPr>
                <w:rFonts w:asciiTheme="majorHAnsi" w:hAnsiTheme="majorHAnsi" w:cstheme="majorHAnsi"/>
                <w:position w:val="2"/>
              </w:rPr>
              <w:t xml:space="preserve"> es lo suficientemente porosa como para permitir la difusión de metabolitos hacia la membrana plasmática.</w:t>
            </w:r>
          </w:p>
          <w:p w14:paraId="4F3DEC21" w14:textId="77777777" w:rsidR="00AB5064" w:rsidRPr="00AB5064" w:rsidRDefault="00AB5064" w:rsidP="00AB5064">
            <w:pPr>
              <w:pStyle w:val="TableParagraph"/>
              <w:spacing w:before="120"/>
              <w:ind w:right="85"/>
              <w:jc w:val="both"/>
              <w:rPr>
                <w:rFonts w:asciiTheme="majorHAnsi" w:hAnsiTheme="majorHAnsi" w:cstheme="majorHAnsi"/>
                <w:position w:val="2"/>
              </w:rPr>
            </w:pPr>
            <w:r w:rsidRPr="00AB5064">
              <w:rPr>
                <w:rFonts w:asciiTheme="majorHAnsi" w:hAnsiTheme="majorHAnsi" w:cstheme="majorHAnsi"/>
                <w:position w:val="2"/>
              </w:rPr>
              <w:t>Aunque el peptidoglucano es resistente, puede degradarse mediante el uso de lisozima que es una enzima que se encuentra en la mucosidad y en las lágrimas del ser humano que también producen las bacterias y otros microorganismos.</w:t>
            </w:r>
          </w:p>
          <w:p w14:paraId="15989FF5" w14:textId="77777777" w:rsidR="00AB5064" w:rsidRPr="00AB5064" w:rsidRDefault="00AB5064" w:rsidP="00AB5064">
            <w:pPr>
              <w:pStyle w:val="TableParagraph"/>
              <w:spacing w:before="120"/>
              <w:ind w:right="85"/>
              <w:jc w:val="center"/>
              <w:rPr>
                <w:rFonts w:asciiTheme="majorHAnsi" w:hAnsiTheme="majorHAnsi" w:cstheme="majorHAnsi"/>
                <w:b/>
                <w:bCs/>
                <w:position w:val="2"/>
              </w:rPr>
            </w:pPr>
            <w:r w:rsidRPr="00AB5064">
              <w:rPr>
                <w:rFonts w:asciiTheme="majorHAnsi" w:hAnsiTheme="majorHAnsi" w:cstheme="majorHAnsi"/>
                <w:b/>
                <w:bCs/>
                <w:position w:val="2"/>
              </w:rPr>
              <w:t>Cocos</w:t>
            </w:r>
          </w:p>
          <w:p w14:paraId="2C0F0A38" w14:textId="1B3D380C" w:rsidR="003D1B64" w:rsidRPr="006724BB" w:rsidRDefault="00AB5064" w:rsidP="00AB5064">
            <w:pPr>
              <w:jc w:val="both"/>
              <w:rPr>
                <w:rFonts w:asciiTheme="majorHAnsi" w:hAnsiTheme="majorHAnsi" w:cstheme="majorHAnsi"/>
              </w:rPr>
            </w:pPr>
            <w:r w:rsidRPr="00AB5064">
              <w:rPr>
                <w:rFonts w:asciiTheme="majorHAnsi" w:hAnsiTheme="majorHAnsi" w:cstheme="majorHAnsi"/>
                <w:position w:val="2"/>
              </w:rPr>
              <w:t xml:space="preserve">Las bacterias que aparecen redondeadas se denominan cocos, Luego del proceso de división algunas células bacterianas permanecen unidas formando grupos. Tal es el caso de los Streptococcus que forman largas cadenas de cocos, mientras que otros como los </w:t>
            </w:r>
            <w:proofErr w:type="spellStart"/>
            <w:r w:rsidRPr="00AB5064">
              <w:rPr>
                <w:rFonts w:asciiTheme="majorHAnsi" w:hAnsiTheme="majorHAnsi" w:cstheme="majorHAnsi"/>
                <w:position w:val="2"/>
              </w:rPr>
              <w:t>Staphylococcus</w:t>
            </w:r>
            <w:proofErr w:type="spellEnd"/>
            <w:r w:rsidRPr="00AB5064">
              <w:rPr>
                <w:rFonts w:asciiTheme="majorHAnsi" w:hAnsiTheme="majorHAnsi" w:cstheme="majorHAnsi"/>
                <w:position w:val="2"/>
              </w:rPr>
              <w:t>, se agrupan en forma de racimos de uva. En algunos casos se observan dos cocos unidos formando diplococos (1).</w:t>
            </w:r>
          </w:p>
        </w:tc>
      </w:tr>
      <w:tr w:rsidR="003D1B64" w:rsidRPr="006724BB" w14:paraId="766F9202" w14:textId="77777777" w:rsidTr="00C750B8">
        <w:trPr>
          <w:trHeight w:val="29"/>
        </w:trPr>
        <w:tc>
          <w:tcPr>
            <w:tcW w:w="4659" w:type="dxa"/>
            <w:gridSpan w:val="4"/>
            <w:shd w:val="clear" w:color="auto" w:fill="auto"/>
          </w:tcPr>
          <w:p w14:paraId="3D81672A" w14:textId="1788674B" w:rsidR="003D1B64" w:rsidRPr="006724BB" w:rsidRDefault="000E04A5" w:rsidP="000E04A5">
            <w:pPr>
              <w:pStyle w:val="Prrafodelista"/>
              <w:numPr>
                <w:ilvl w:val="0"/>
                <w:numId w:val="37"/>
              </w:numPr>
              <w:ind w:left="306" w:hanging="306"/>
              <w:jc w:val="both"/>
              <w:rPr>
                <w:rFonts w:asciiTheme="majorHAnsi" w:hAnsiTheme="majorHAnsi" w:cstheme="majorHAnsi"/>
                <w:caps/>
              </w:rPr>
            </w:pPr>
            <w:r>
              <w:rPr>
                <w:rFonts w:asciiTheme="majorHAnsi" w:hAnsiTheme="majorHAnsi" w:cstheme="majorHAnsi"/>
              </w:rPr>
              <w:t xml:space="preserve">Analizar el articulo 2 y en base al mismo, elabore una tabla con la siguiente información características microscópicas, forma de contagio, métodos diagnósticos, cuadro clínico, tratamiento de los 2 casos de gonorrea analizados, finalice el resumen con las medidas de prevención de la infección.  </w:t>
            </w:r>
          </w:p>
        </w:tc>
        <w:tc>
          <w:tcPr>
            <w:tcW w:w="4521" w:type="dxa"/>
            <w:gridSpan w:val="4"/>
            <w:vMerge/>
            <w:shd w:val="clear" w:color="auto" w:fill="auto"/>
          </w:tcPr>
          <w:p w14:paraId="285F98A4" w14:textId="77777777" w:rsidR="003D1B64" w:rsidRPr="006724BB" w:rsidRDefault="003D1B64" w:rsidP="00552DD3">
            <w:pPr>
              <w:jc w:val="both"/>
              <w:rPr>
                <w:rFonts w:asciiTheme="majorHAnsi" w:hAnsiTheme="majorHAnsi" w:cstheme="majorHAnsi"/>
              </w:rPr>
            </w:pPr>
          </w:p>
        </w:tc>
      </w:tr>
      <w:tr w:rsidR="00552DD3" w:rsidRPr="006724BB" w14:paraId="6A1F573B" w14:textId="77777777" w:rsidTr="00AA5B7A">
        <w:tc>
          <w:tcPr>
            <w:tcW w:w="9180" w:type="dxa"/>
            <w:gridSpan w:val="8"/>
            <w:shd w:val="clear" w:color="auto" w:fill="auto"/>
          </w:tcPr>
          <w:p w14:paraId="6174ED5F" w14:textId="77777777" w:rsidR="00552DD3" w:rsidRPr="006724BB" w:rsidRDefault="00552DD3" w:rsidP="00552DD3">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5DC34C7F" w14:textId="77777777" w:rsidR="00552DD3" w:rsidRPr="006724BB" w:rsidRDefault="00552DD3" w:rsidP="00552DD3">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p w14:paraId="285A8F10" w14:textId="77777777" w:rsidR="00552DD3" w:rsidRPr="006724BB" w:rsidRDefault="00552DD3" w:rsidP="00552DD3">
            <w:pPr>
              <w:rPr>
                <w:rFonts w:asciiTheme="majorHAnsi" w:hAnsiTheme="majorHAnsi" w:cstheme="majorHAnsi"/>
              </w:rPr>
            </w:pPr>
          </w:p>
          <w:p w14:paraId="352F1402" w14:textId="77777777" w:rsidR="00552DD3" w:rsidRPr="006724BB" w:rsidRDefault="00552DD3" w:rsidP="00552DD3">
            <w:pPr>
              <w:rPr>
                <w:rFonts w:asciiTheme="majorHAnsi" w:hAnsiTheme="majorHAnsi" w:cstheme="majorHAnsi"/>
              </w:rPr>
            </w:pPr>
          </w:p>
        </w:tc>
      </w:tr>
      <w:tr w:rsidR="00552DD3" w:rsidRPr="00346DD7" w14:paraId="0E648DEF" w14:textId="77777777" w:rsidTr="00AA5B7A">
        <w:tc>
          <w:tcPr>
            <w:tcW w:w="9180" w:type="dxa"/>
            <w:gridSpan w:val="8"/>
            <w:shd w:val="clear" w:color="auto" w:fill="auto"/>
          </w:tcPr>
          <w:p w14:paraId="4F626FB7" w14:textId="77777777" w:rsidR="00552DD3" w:rsidRPr="00346DD7" w:rsidRDefault="00552DD3" w:rsidP="00552DD3">
            <w:pPr>
              <w:rPr>
                <w:rFonts w:asciiTheme="majorHAnsi" w:hAnsiTheme="majorHAnsi" w:cstheme="majorHAnsi"/>
                <w:b/>
                <w:bCs/>
              </w:rPr>
            </w:pPr>
            <w:r w:rsidRPr="00346DD7">
              <w:rPr>
                <w:rFonts w:asciiTheme="majorHAnsi" w:hAnsiTheme="majorHAnsi" w:cstheme="majorHAnsi"/>
                <w:b/>
                <w:bCs/>
              </w:rPr>
              <w:t xml:space="preserve">Conclusiones: </w:t>
            </w:r>
          </w:p>
        </w:tc>
      </w:tr>
      <w:tr w:rsidR="000E04A5" w:rsidRPr="00346DD7" w14:paraId="3B7BAC95" w14:textId="77777777" w:rsidTr="00C750B8">
        <w:tc>
          <w:tcPr>
            <w:tcW w:w="2334" w:type="dxa"/>
            <w:gridSpan w:val="2"/>
            <w:vMerge w:val="restart"/>
            <w:shd w:val="clear" w:color="auto" w:fill="auto"/>
          </w:tcPr>
          <w:p w14:paraId="42A5C41E" w14:textId="77777777" w:rsidR="000E04A5" w:rsidRPr="00346DD7" w:rsidRDefault="000E04A5" w:rsidP="000E04A5">
            <w:pPr>
              <w:rPr>
                <w:rFonts w:asciiTheme="majorHAnsi" w:hAnsiTheme="majorHAnsi" w:cstheme="majorHAnsi"/>
              </w:rPr>
            </w:pPr>
          </w:p>
          <w:p w14:paraId="6C6198E0" w14:textId="77777777" w:rsidR="000E04A5" w:rsidRPr="00346DD7" w:rsidRDefault="000E04A5" w:rsidP="000E04A5">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0E04A5" w:rsidRPr="00346DD7" w:rsidRDefault="000E04A5" w:rsidP="000E04A5">
            <w:pPr>
              <w:rPr>
                <w:rFonts w:asciiTheme="majorHAnsi" w:hAnsiTheme="majorHAnsi" w:cstheme="majorHAnsi"/>
                <w:color w:val="FF0000"/>
              </w:rPr>
            </w:pPr>
          </w:p>
        </w:tc>
        <w:tc>
          <w:tcPr>
            <w:tcW w:w="1952" w:type="dxa"/>
            <w:shd w:val="clear" w:color="auto" w:fill="auto"/>
          </w:tcPr>
          <w:p w14:paraId="6DE5988E" w14:textId="58B663A3" w:rsidR="000E04A5" w:rsidRPr="000E04A5" w:rsidRDefault="000E04A5" w:rsidP="000E04A5">
            <w:pPr>
              <w:pStyle w:val="Prrafodelista"/>
              <w:numPr>
                <w:ilvl w:val="0"/>
                <w:numId w:val="30"/>
              </w:numPr>
              <w:ind w:left="220" w:hanging="220"/>
              <w:jc w:val="both"/>
              <w:rPr>
                <w:rFonts w:asciiTheme="majorHAnsi" w:hAnsiTheme="majorHAnsi" w:cstheme="majorHAnsi"/>
                <w:bCs/>
                <w:caps/>
              </w:rPr>
            </w:pPr>
            <w:r w:rsidRPr="000E04A5">
              <w:rPr>
                <w:rFonts w:asciiTheme="majorHAnsi" w:hAnsiTheme="majorHAnsi" w:cstheme="majorHAnsi"/>
                <w:b/>
                <w:bCs/>
                <w:sz w:val="20"/>
                <w:szCs w:val="20"/>
              </w:rPr>
              <w:t xml:space="preserve">Bacterias Gram positivas: </w:t>
            </w:r>
            <w:r w:rsidRPr="000E04A5">
              <w:rPr>
                <w:rFonts w:asciiTheme="majorHAnsi" w:hAnsiTheme="majorHAnsi" w:cstheme="majorHAnsi"/>
                <w:sz w:val="20"/>
                <w:szCs w:val="20"/>
              </w:rPr>
              <w:t>aquellas que se tiñen de morado porque el colorante queda atrapado en una gruesa capa de peptidoglucanos a modo de malla entrelazada que rodea a la célula</w:t>
            </w:r>
          </w:p>
        </w:tc>
        <w:tc>
          <w:tcPr>
            <w:tcW w:w="2646" w:type="dxa"/>
            <w:gridSpan w:val="4"/>
            <w:shd w:val="clear" w:color="auto" w:fill="auto"/>
          </w:tcPr>
          <w:p w14:paraId="1C1A6438" w14:textId="2B1554C5" w:rsidR="000E04A5" w:rsidRPr="000E04A5" w:rsidRDefault="000E04A5" w:rsidP="000E04A5">
            <w:pPr>
              <w:pStyle w:val="Prrafodelista"/>
              <w:numPr>
                <w:ilvl w:val="0"/>
                <w:numId w:val="30"/>
              </w:numPr>
              <w:ind w:left="220" w:hanging="220"/>
              <w:jc w:val="both"/>
              <w:rPr>
                <w:rFonts w:asciiTheme="majorHAnsi" w:hAnsiTheme="majorHAnsi" w:cstheme="majorHAnsi"/>
                <w:bCs/>
                <w:caps/>
              </w:rPr>
            </w:pPr>
            <w:r w:rsidRPr="000E04A5">
              <w:rPr>
                <w:rFonts w:asciiTheme="majorHAnsi" w:hAnsiTheme="majorHAnsi" w:cstheme="majorHAnsi"/>
                <w:b/>
                <w:bCs/>
                <w:sz w:val="20"/>
                <w:szCs w:val="20"/>
              </w:rPr>
              <w:t xml:space="preserve">Bacterias Gram negativas: </w:t>
            </w:r>
            <w:r w:rsidRPr="000E04A5">
              <w:rPr>
                <w:rFonts w:asciiTheme="majorHAnsi" w:hAnsiTheme="majorHAnsi" w:cstheme="majorHAnsi"/>
                <w:sz w:val="20"/>
                <w:szCs w:val="20"/>
              </w:rPr>
              <w:t>bacterias que tienen una capa de peptidoglucanos más delgada, que no retiene el cristal violeta, de forma que las células se tiñen con la safranina empleada como contraste y se ven rojas.</w:t>
            </w:r>
          </w:p>
        </w:tc>
        <w:tc>
          <w:tcPr>
            <w:tcW w:w="2248" w:type="dxa"/>
            <w:shd w:val="clear" w:color="auto" w:fill="auto"/>
          </w:tcPr>
          <w:p w14:paraId="3B8369B9" w14:textId="7E72AB96" w:rsidR="000E04A5" w:rsidRPr="000E04A5" w:rsidRDefault="000E04A5" w:rsidP="000E04A5">
            <w:pPr>
              <w:pStyle w:val="Prrafodelista"/>
              <w:numPr>
                <w:ilvl w:val="0"/>
                <w:numId w:val="30"/>
              </w:numPr>
              <w:ind w:left="220" w:hanging="220"/>
              <w:jc w:val="both"/>
              <w:rPr>
                <w:rFonts w:asciiTheme="majorHAnsi" w:hAnsiTheme="majorHAnsi" w:cstheme="majorHAnsi"/>
              </w:rPr>
            </w:pPr>
            <w:r w:rsidRPr="000E04A5">
              <w:rPr>
                <w:rFonts w:asciiTheme="majorHAnsi" w:hAnsiTheme="majorHAnsi" w:cstheme="majorHAnsi"/>
                <w:b/>
                <w:bCs/>
                <w:sz w:val="20"/>
                <w:szCs w:val="20"/>
              </w:rPr>
              <w:t xml:space="preserve">Virulencia: </w:t>
            </w:r>
            <w:r w:rsidRPr="000E04A5">
              <w:rPr>
                <w:rFonts w:asciiTheme="majorHAnsi" w:hAnsiTheme="majorHAnsi" w:cstheme="majorHAnsi"/>
                <w:sz w:val="20"/>
                <w:szCs w:val="20"/>
              </w:rPr>
              <w:t>es el grado de patogenicidad de un serotipo, de una cepa o de una colonia microbiana en un huésped susceptible</w:t>
            </w:r>
          </w:p>
        </w:tc>
      </w:tr>
      <w:tr w:rsidR="000E04A5" w:rsidRPr="00346DD7" w14:paraId="29182B95" w14:textId="77777777" w:rsidTr="00C750B8">
        <w:tc>
          <w:tcPr>
            <w:tcW w:w="2334" w:type="dxa"/>
            <w:gridSpan w:val="2"/>
            <w:vMerge/>
            <w:shd w:val="clear" w:color="auto" w:fill="auto"/>
          </w:tcPr>
          <w:p w14:paraId="1298A9D2" w14:textId="77777777" w:rsidR="000E04A5" w:rsidRPr="00346DD7" w:rsidRDefault="000E04A5" w:rsidP="000E04A5">
            <w:pPr>
              <w:rPr>
                <w:rFonts w:asciiTheme="majorHAnsi" w:hAnsiTheme="majorHAnsi" w:cstheme="majorHAnsi"/>
              </w:rPr>
            </w:pPr>
          </w:p>
        </w:tc>
        <w:tc>
          <w:tcPr>
            <w:tcW w:w="1952" w:type="dxa"/>
            <w:shd w:val="clear" w:color="auto" w:fill="auto"/>
          </w:tcPr>
          <w:p w14:paraId="05B7A107" w14:textId="102D85C4" w:rsidR="000E04A5" w:rsidRPr="000E04A5" w:rsidRDefault="000E04A5" w:rsidP="000E04A5">
            <w:pPr>
              <w:pStyle w:val="Prrafodelista"/>
              <w:ind w:left="360"/>
              <w:jc w:val="both"/>
              <w:rPr>
                <w:rFonts w:asciiTheme="majorHAnsi" w:hAnsiTheme="majorHAnsi" w:cstheme="majorHAnsi"/>
                <w:bCs/>
                <w:caps/>
              </w:rPr>
            </w:pPr>
            <w:r w:rsidRPr="000E04A5">
              <w:rPr>
                <w:rFonts w:asciiTheme="majorHAnsi" w:hAnsiTheme="majorHAnsi" w:cstheme="majorHAnsi"/>
                <w:b/>
                <w:bCs/>
                <w:i/>
                <w:iCs/>
                <w:sz w:val="20"/>
                <w:szCs w:val="20"/>
              </w:rPr>
              <w:t>S. pyogenes</w:t>
            </w:r>
            <w:r w:rsidRPr="000E04A5">
              <w:rPr>
                <w:rFonts w:asciiTheme="majorHAnsi" w:hAnsiTheme="majorHAnsi" w:cstheme="majorHAnsi"/>
                <w:b/>
                <w:bCs/>
                <w:sz w:val="20"/>
                <w:szCs w:val="20"/>
              </w:rPr>
              <w:t xml:space="preserve">: </w:t>
            </w:r>
            <w:r w:rsidRPr="000E04A5">
              <w:rPr>
                <w:rFonts w:asciiTheme="majorHAnsi" w:hAnsiTheme="majorHAnsi" w:cstheme="majorHAnsi"/>
                <w:sz w:val="20"/>
                <w:szCs w:val="20"/>
              </w:rPr>
              <w:t>es un estreptococo betahemolítico del grupo A que se aísla con frecuencia del tracto respiratorio superior. Entre un 15-20 % de la población es portadora asintomática de este microorganismo. Cuando las defensas del hospedador están debilitadas o se introduce una nueva cepa muy virulenta, se pueden producir infecciones agudas supurativas.</w:t>
            </w:r>
          </w:p>
        </w:tc>
        <w:tc>
          <w:tcPr>
            <w:tcW w:w="2646" w:type="dxa"/>
            <w:gridSpan w:val="4"/>
            <w:shd w:val="clear" w:color="auto" w:fill="auto"/>
          </w:tcPr>
          <w:p w14:paraId="70A944CF" w14:textId="0BD18413" w:rsidR="000E04A5" w:rsidRPr="000E04A5" w:rsidRDefault="000E04A5" w:rsidP="000E04A5">
            <w:pPr>
              <w:pStyle w:val="Prrafodelista"/>
              <w:numPr>
                <w:ilvl w:val="0"/>
                <w:numId w:val="30"/>
              </w:numPr>
              <w:jc w:val="both"/>
              <w:rPr>
                <w:rFonts w:asciiTheme="majorHAnsi" w:hAnsiTheme="majorHAnsi" w:cstheme="majorHAnsi"/>
                <w:bCs/>
                <w:caps/>
              </w:rPr>
            </w:pPr>
            <w:r w:rsidRPr="000E04A5">
              <w:rPr>
                <w:rFonts w:asciiTheme="majorHAnsi" w:hAnsiTheme="majorHAnsi" w:cstheme="majorHAnsi"/>
                <w:b/>
                <w:bCs/>
                <w:i/>
                <w:iCs/>
                <w:sz w:val="20"/>
                <w:szCs w:val="20"/>
              </w:rPr>
              <w:t xml:space="preserve">S. </w:t>
            </w:r>
            <w:proofErr w:type="spellStart"/>
            <w:r w:rsidRPr="000E04A5">
              <w:rPr>
                <w:rFonts w:asciiTheme="majorHAnsi" w:hAnsiTheme="majorHAnsi" w:cstheme="majorHAnsi"/>
                <w:b/>
                <w:bCs/>
                <w:i/>
                <w:iCs/>
                <w:sz w:val="20"/>
                <w:szCs w:val="20"/>
              </w:rPr>
              <w:t>aureus</w:t>
            </w:r>
            <w:proofErr w:type="spellEnd"/>
            <w:r w:rsidRPr="000E04A5">
              <w:rPr>
                <w:rFonts w:asciiTheme="majorHAnsi" w:hAnsiTheme="majorHAnsi" w:cstheme="majorHAnsi"/>
                <w:b/>
                <w:bCs/>
                <w:sz w:val="20"/>
                <w:szCs w:val="20"/>
              </w:rPr>
              <w:t xml:space="preserve">: </w:t>
            </w:r>
            <w:r w:rsidRPr="000E04A5">
              <w:rPr>
                <w:rFonts w:asciiTheme="majorHAnsi" w:hAnsiTheme="majorHAnsi" w:cstheme="majorHAnsi"/>
                <w:sz w:val="20"/>
                <w:szCs w:val="20"/>
              </w:rPr>
              <w:t>es una bacteria anaerobia facultativa, Gram positiva, productora de coagulasa, catalasa, inmóvil y no esporulada que se encuentra ampliamente distribuida por todo el mundo, estimándose que una de cada tres personas se halla colonizadas, aunque no infectadas, por ella</w:t>
            </w:r>
          </w:p>
        </w:tc>
        <w:tc>
          <w:tcPr>
            <w:tcW w:w="2248" w:type="dxa"/>
            <w:shd w:val="clear" w:color="auto" w:fill="auto"/>
          </w:tcPr>
          <w:p w14:paraId="28C1AD0A" w14:textId="0DD1EF12" w:rsidR="000E04A5" w:rsidRPr="000E04A5" w:rsidRDefault="000E04A5" w:rsidP="000E04A5">
            <w:pPr>
              <w:pStyle w:val="Prrafodelista"/>
              <w:numPr>
                <w:ilvl w:val="0"/>
                <w:numId w:val="30"/>
              </w:numPr>
              <w:jc w:val="both"/>
              <w:rPr>
                <w:rFonts w:asciiTheme="majorHAnsi" w:hAnsiTheme="majorHAnsi" w:cstheme="majorHAnsi"/>
              </w:rPr>
            </w:pPr>
            <w:proofErr w:type="spellStart"/>
            <w:r w:rsidRPr="000E04A5">
              <w:rPr>
                <w:rFonts w:asciiTheme="majorHAnsi" w:hAnsiTheme="majorHAnsi" w:cstheme="majorHAnsi"/>
                <w:b/>
                <w:bCs/>
                <w:i/>
                <w:iCs/>
                <w:sz w:val="20"/>
                <w:szCs w:val="20"/>
              </w:rPr>
              <w:t>Neisseria</w:t>
            </w:r>
            <w:proofErr w:type="spellEnd"/>
            <w:r w:rsidRPr="000E04A5">
              <w:rPr>
                <w:rFonts w:asciiTheme="majorHAnsi" w:hAnsiTheme="majorHAnsi" w:cstheme="majorHAnsi"/>
                <w:b/>
                <w:bCs/>
                <w:i/>
                <w:iCs/>
                <w:sz w:val="20"/>
                <w:szCs w:val="20"/>
              </w:rPr>
              <w:t xml:space="preserve"> </w:t>
            </w:r>
            <w:proofErr w:type="spellStart"/>
            <w:r w:rsidRPr="000E04A5">
              <w:rPr>
                <w:rFonts w:asciiTheme="majorHAnsi" w:hAnsiTheme="majorHAnsi" w:cstheme="majorHAnsi"/>
                <w:b/>
                <w:bCs/>
                <w:i/>
                <w:iCs/>
                <w:sz w:val="20"/>
                <w:szCs w:val="20"/>
              </w:rPr>
              <w:t>gonorreae</w:t>
            </w:r>
            <w:proofErr w:type="spellEnd"/>
            <w:r w:rsidRPr="000E04A5">
              <w:rPr>
                <w:rFonts w:asciiTheme="majorHAnsi" w:hAnsiTheme="majorHAnsi" w:cstheme="majorHAnsi"/>
                <w:b/>
                <w:bCs/>
                <w:sz w:val="20"/>
                <w:szCs w:val="20"/>
              </w:rPr>
              <w:t xml:space="preserve">: </w:t>
            </w:r>
            <w:proofErr w:type="spellStart"/>
            <w:r w:rsidRPr="000E04A5">
              <w:rPr>
                <w:rFonts w:asciiTheme="majorHAnsi" w:hAnsiTheme="majorHAnsi" w:cstheme="majorHAnsi"/>
                <w:sz w:val="20"/>
                <w:szCs w:val="20"/>
              </w:rPr>
              <w:t>ó</w:t>
            </w:r>
            <w:proofErr w:type="spellEnd"/>
            <w:r w:rsidRPr="000E04A5">
              <w:rPr>
                <w:rFonts w:asciiTheme="majorHAnsi" w:hAnsiTheme="majorHAnsi" w:cstheme="majorHAnsi"/>
                <w:sz w:val="20"/>
                <w:szCs w:val="20"/>
              </w:rPr>
              <w:t xml:space="preserve"> gonococo es un microorganismo de transmisión sexual y su único reservorio es el ser humano. En el hombre produce uretritis gonocócica o gonorrea que se caracteriza por una secreción uretral purulenta llamada gota matinal. La patología causada en la mujer se manifiesta con cervicitis que es una infección en el cérvix uterino.</w:t>
            </w:r>
          </w:p>
        </w:tc>
      </w:tr>
      <w:tr w:rsidR="00552DD3" w:rsidRPr="00346DD7" w14:paraId="30517FA2" w14:textId="77777777" w:rsidTr="00C750B8">
        <w:tc>
          <w:tcPr>
            <w:tcW w:w="2334" w:type="dxa"/>
            <w:gridSpan w:val="2"/>
            <w:vMerge/>
            <w:shd w:val="clear" w:color="auto" w:fill="auto"/>
          </w:tcPr>
          <w:p w14:paraId="1F4CA987" w14:textId="77777777" w:rsidR="00552DD3" w:rsidRPr="00346DD7" w:rsidRDefault="00552DD3" w:rsidP="00552DD3">
            <w:pPr>
              <w:rPr>
                <w:rFonts w:asciiTheme="majorHAnsi" w:hAnsiTheme="majorHAnsi" w:cstheme="majorHAnsi"/>
              </w:rPr>
            </w:pPr>
          </w:p>
        </w:tc>
        <w:tc>
          <w:tcPr>
            <w:tcW w:w="1952" w:type="dxa"/>
            <w:shd w:val="clear" w:color="auto" w:fill="auto"/>
          </w:tcPr>
          <w:p w14:paraId="5B1074EF" w14:textId="77777777" w:rsidR="00552DD3" w:rsidRPr="00346DD7" w:rsidRDefault="00552DD3" w:rsidP="00432738">
            <w:pPr>
              <w:pStyle w:val="Prrafodelista"/>
              <w:ind w:left="360"/>
              <w:rPr>
                <w:rFonts w:asciiTheme="majorHAnsi" w:hAnsiTheme="majorHAnsi" w:cstheme="majorHAnsi"/>
                <w:bCs/>
                <w:caps/>
              </w:rPr>
            </w:pPr>
          </w:p>
        </w:tc>
        <w:tc>
          <w:tcPr>
            <w:tcW w:w="2646" w:type="dxa"/>
            <w:gridSpan w:val="4"/>
            <w:shd w:val="clear" w:color="auto" w:fill="auto"/>
          </w:tcPr>
          <w:p w14:paraId="2162ED50" w14:textId="77777777" w:rsidR="00552DD3" w:rsidRPr="00346DD7" w:rsidRDefault="00552DD3" w:rsidP="00432738">
            <w:pPr>
              <w:pStyle w:val="Prrafodelista"/>
              <w:ind w:left="360"/>
              <w:rPr>
                <w:rFonts w:asciiTheme="majorHAnsi" w:hAnsiTheme="majorHAnsi" w:cstheme="majorHAnsi"/>
                <w:bCs/>
                <w:caps/>
              </w:rPr>
            </w:pPr>
          </w:p>
        </w:tc>
        <w:tc>
          <w:tcPr>
            <w:tcW w:w="2248" w:type="dxa"/>
            <w:shd w:val="clear" w:color="auto" w:fill="auto"/>
          </w:tcPr>
          <w:p w14:paraId="6B36CC88" w14:textId="77777777" w:rsidR="00552DD3" w:rsidRPr="00346DD7" w:rsidRDefault="00552DD3" w:rsidP="00432738">
            <w:pPr>
              <w:pStyle w:val="Prrafodelista"/>
              <w:ind w:left="360"/>
              <w:rPr>
                <w:rFonts w:asciiTheme="majorHAnsi" w:hAnsiTheme="majorHAnsi" w:cstheme="majorHAnsi"/>
              </w:rPr>
            </w:pPr>
          </w:p>
        </w:tc>
      </w:tr>
      <w:tr w:rsidR="00552DD3" w:rsidRPr="00346DD7" w14:paraId="54634326" w14:textId="77777777" w:rsidTr="00AA5B7A">
        <w:tc>
          <w:tcPr>
            <w:tcW w:w="9180" w:type="dxa"/>
            <w:gridSpan w:val="8"/>
            <w:shd w:val="clear" w:color="auto" w:fill="auto"/>
          </w:tcPr>
          <w:p w14:paraId="6683BC2E" w14:textId="77777777" w:rsidR="00552DD3" w:rsidRDefault="00552DD3" w:rsidP="00552DD3">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1FBF63C7" w14:textId="2FE59033" w:rsidR="00565D64" w:rsidRPr="00B35C08" w:rsidRDefault="003D1B64" w:rsidP="00B35C08">
            <w:pPr>
              <w:pStyle w:val="Prrafodelista"/>
              <w:numPr>
                <w:ilvl w:val="0"/>
                <w:numId w:val="38"/>
              </w:numPr>
              <w:jc w:val="both"/>
              <w:rPr>
                <w:rFonts w:asciiTheme="majorHAnsi" w:hAnsiTheme="majorHAnsi" w:cstheme="majorHAnsi"/>
              </w:rPr>
            </w:pPr>
            <w:r w:rsidRPr="00B35C08">
              <w:rPr>
                <w:rFonts w:asciiTheme="majorHAnsi" w:hAnsiTheme="majorHAnsi" w:cstheme="majorHAnsi"/>
              </w:rPr>
              <w:t>Murray P. Microbiología Médica básica. 1era ed. Madrid; Elsevier; 2018.</w:t>
            </w:r>
          </w:p>
          <w:p w14:paraId="793FF0C6" w14:textId="5BB87E66" w:rsidR="00B35C08" w:rsidRPr="00B35C08" w:rsidRDefault="00B35C08" w:rsidP="00565B73">
            <w:pPr>
              <w:pStyle w:val="Prrafodelista"/>
              <w:numPr>
                <w:ilvl w:val="0"/>
                <w:numId w:val="38"/>
              </w:numPr>
              <w:jc w:val="both"/>
              <w:rPr>
                <w:rFonts w:asciiTheme="majorHAnsi" w:hAnsiTheme="majorHAnsi" w:cstheme="majorHAnsi"/>
              </w:rPr>
            </w:pPr>
            <w:r w:rsidRPr="00B35C08">
              <w:rPr>
                <w:rFonts w:asciiTheme="majorHAnsi" w:hAnsiTheme="majorHAnsi" w:cstheme="majorHAnsi"/>
              </w:rPr>
              <w:t xml:space="preserve">Vaca Córdova SD, Cruz </w:t>
            </w:r>
            <w:proofErr w:type="spellStart"/>
            <w:r w:rsidRPr="00B35C08">
              <w:rPr>
                <w:rFonts w:asciiTheme="majorHAnsi" w:hAnsiTheme="majorHAnsi" w:cstheme="majorHAnsi"/>
              </w:rPr>
              <w:t>Pierard</w:t>
            </w:r>
            <w:proofErr w:type="spellEnd"/>
            <w:r w:rsidRPr="00B35C08">
              <w:rPr>
                <w:rFonts w:asciiTheme="majorHAnsi" w:hAnsiTheme="majorHAnsi" w:cstheme="majorHAnsi"/>
              </w:rPr>
              <w:t xml:space="preserve"> SM, Iñiguez Jiménez SO. Prevalencia de </w:t>
            </w:r>
            <w:proofErr w:type="spellStart"/>
            <w:r w:rsidRPr="00B35C08">
              <w:rPr>
                <w:rFonts w:asciiTheme="majorHAnsi" w:hAnsiTheme="majorHAnsi" w:cstheme="majorHAnsi"/>
              </w:rPr>
              <w:t>Staphylococcus</w:t>
            </w:r>
            <w:proofErr w:type="spellEnd"/>
            <w:r w:rsidRPr="00B35C08">
              <w:rPr>
                <w:rFonts w:asciiTheme="majorHAnsi" w:hAnsiTheme="majorHAnsi" w:cstheme="majorHAnsi"/>
              </w:rPr>
              <w:t xml:space="preserve"> </w:t>
            </w:r>
            <w:proofErr w:type="spellStart"/>
            <w:r w:rsidRPr="00B35C08">
              <w:rPr>
                <w:rFonts w:asciiTheme="majorHAnsi" w:hAnsiTheme="majorHAnsi" w:cstheme="majorHAnsi"/>
              </w:rPr>
              <w:t>aureus</w:t>
            </w:r>
            <w:proofErr w:type="spellEnd"/>
            <w:r w:rsidRPr="00B35C08">
              <w:rPr>
                <w:rFonts w:asciiTheme="majorHAnsi" w:hAnsiTheme="majorHAnsi" w:cstheme="majorHAnsi"/>
              </w:rPr>
              <w:t xml:space="preserve"> </w:t>
            </w:r>
            <w:proofErr w:type="spellStart"/>
            <w:r w:rsidRPr="00B35C08">
              <w:rPr>
                <w:rFonts w:asciiTheme="majorHAnsi" w:hAnsiTheme="majorHAnsi" w:cstheme="majorHAnsi"/>
              </w:rPr>
              <w:t>meticilino</w:t>
            </w:r>
            <w:proofErr w:type="spellEnd"/>
            <w:r w:rsidRPr="00B35C08">
              <w:rPr>
                <w:rFonts w:asciiTheme="majorHAnsi" w:hAnsiTheme="majorHAnsi" w:cstheme="majorHAnsi"/>
              </w:rPr>
              <w:t xml:space="preserve"> resistente en el personal de salud de un Hospital de Especialidades en Quito-Ecuador. </w:t>
            </w:r>
            <w:proofErr w:type="spellStart"/>
            <w:r w:rsidRPr="00B35C08">
              <w:rPr>
                <w:rFonts w:asciiTheme="majorHAnsi" w:hAnsiTheme="majorHAnsi" w:cstheme="majorHAnsi"/>
              </w:rPr>
              <w:t>Rev</w:t>
            </w:r>
            <w:proofErr w:type="spellEnd"/>
            <w:r w:rsidRPr="00B35C08">
              <w:rPr>
                <w:rFonts w:asciiTheme="majorHAnsi" w:hAnsiTheme="majorHAnsi" w:cstheme="majorHAnsi"/>
              </w:rPr>
              <w:t xml:space="preserve"> San </w:t>
            </w:r>
            <w:proofErr w:type="spellStart"/>
            <w:r w:rsidRPr="00B35C08">
              <w:rPr>
                <w:rFonts w:asciiTheme="majorHAnsi" w:hAnsiTheme="majorHAnsi" w:cstheme="majorHAnsi"/>
              </w:rPr>
              <w:t>Gregor</w:t>
            </w:r>
            <w:proofErr w:type="spellEnd"/>
            <w:r w:rsidRPr="00B35C08">
              <w:rPr>
                <w:rFonts w:asciiTheme="majorHAnsi" w:hAnsiTheme="majorHAnsi" w:cstheme="majorHAnsi"/>
              </w:rPr>
              <w:t>. 2021;1(45):86–98</w:t>
            </w:r>
          </w:p>
          <w:p w14:paraId="2DA1103C" w14:textId="0869064E" w:rsidR="00565B73" w:rsidRPr="00B35C08" w:rsidRDefault="00565B73" w:rsidP="00B35C08">
            <w:pPr>
              <w:pStyle w:val="Prrafodelista"/>
              <w:widowControl w:val="0"/>
              <w:numPr>
                <w:ilvl w:val="0"/>
                <w:numId w:val="38"/>
              </w:numPr>
              <w:autoSpaceDE w:val="0"/>
              <w:autoSpaceDN w:val="0"/>
              <w:adjustRightInd w:val="0"/>
              <w:spacing w:after="160"/>
              <w:rPr>
                <w:rFonts w:ascii="Calibri" w:hAnsi="Calibri" w:cs="Calibri"/>
                <w:noProof/>
                <w:szCs w:val="24"/>
              </w:rPr>
            </w:pPr>
            <w:r w:rsidRPr="00B35C08">
              <w:rPr>
                <w:rFonts w:ascii="Calibri" w:hAnsi="Calibri" w:cs="Calibri"/>
                <w:noProof/>
                <w:szCs w:val="24"/>
              </w:rPr>
              <w:t xml:space="preserve">Organización Mundial de la Salud. Lista de las bacterias para las que se necesitan urgentemente nuevos antibióticos [Internet]. 2017. Available from: </w:t>
            </w:r>
            <w:hyperlink r:id="rId12" w:history="1">
              <w:r w:rsidR="00B975BB" w:rsidRPr="00F4123A">
                <w:rPr>
                  <w:rStyle w:val="Hipervnculo"/>
                  <w:rFonts w:ascii="Calibri" w:hAnsi="Calibri" w:cs="Calibri"/>
                  <w:noProof/>
                  <w:szCs w:val="24"/>
                </w:rPr>
                <w:t>https://www.who.int/es/news/item/27-02-2017-who-publishes-list-of-bacteria-for-which-new-antibiotics-are-urgently-needed</w:t>
              </w:r>
            </w:hyperlink>
            <w:r w:rsidR="00B975BB">
              <w:rPr>
                <w:rFonts w:ascii="Calibri" w:hAnsi="Calibri" w:cs="Calibri"/>
                <w:noProof/>
                <w:szCs w:val="24"/>
              </w:rPr>
              <w:t xml:space="preserve"> </w:t>
            </w:r>
          </w:p>
          <w:p w14:paraId="16F89282" w14:textId="2175C6AD" w:rsidR="00565B73" w:rsidRPr="00B35C08" w:rsidRDefault="00565B73" w:rsidP="00B35C08">
            <w:pPr>
              <w:pStyle w:val="Prrafodelista"/>
              <w:widowControl w:val="0"/>
              <w:numPr>
                <w:ilvl w:val="0"/>
                <w:numId w:val="38"/>
              </w:numPr>
              <w:autoSpaceDE w:val="0"/>
              <w:autoSpaceDN w:val="0"/>
              <w:adjustRightInd w:val="0"/>
              <w:spacing w:after="160"/>
              <w:rPr>
                <w:rFonts w:ascii="Calibri" w:hAnsi="Calibri" w:cs="Calibri"/>
                <w:noProof/>
              </w:rPr>
            </w:pPr>
            <w:r w:rsidRPr="00B35C08">
              <w:rPr>
                <w:rFonts w:ascii="Calibri" w:hAnsi="Calibri" w:cs="Calibri"/>
                <w:noProof/>
                <w:szCs w:val="24"/>
              </w:rPr>
              <w:t xml:space="preserve">Organización Mundial de la Salud. Gonorrea (infección por Neisseria gonorrhoeae) datos y cifras [Internet]. 2023. Available from: </w:t>
            </w:r>
            <w:hyperlink r:id="rId13" w:history="1">
              <w:r w:rsidR="00EF77C8" w:rsidRPr="00F4123A">
                <w:rPr>
                  <w:rStyle w:val="Hipervnculo"/>
                  <w:rFonts w:ascii="Calibri" w:hAnsi="Calibri" w:cs="Calibri"/>
                  <w:noProof/>
                  <w:szCs w:val="24"/>
                </w:rPr>
                <w:t>https://www.who.int/es/news-room/fact-sheets/detail/gonorrhoea-(neisseria-gonorrhoeae-infection)</w:t>
              </w:r>
            </w:hyperlink>
            <w:r w:rsidR="00EF77C8">
              <w:rPr>
                <w:rFonts w:ascii="Calibri" w:hAnsi="Calibri" w:cs="Calibri"/>
                <w:noProof/>
                <w:szCs w:val="24"/>
              </w:rPr>
              <w:t xml:space="preserve"> </w:t>
            </w:r>
          </w:p>
          <w:p w14:paraId="419A3801" w14:textId="053A6E2B" w:rsidR="000E04A5" w:rsidRPr="00565B73" w:rsidRDefault="000E04A5" w:rsidP="00565B73">
            <w:pPr>
              <w:jc w:val="both"/>
              <w:rPr>
                <w:rFonts w:asciiTheme="majorHAnsi" w:hAnsiTheme="majorHAnsi" w:cstheme="majorHAnsi"/>
              </w:rPr>
            </w:pP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1D1E8BA4" w14:textId="77777777"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4"/>
      <w:footerReference w:type="even" r:id="rId15"/>
      <w:footerReference w:type="default" r:id="rId16"/>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348F" w14:textId="77777777" w:rsidR="00EF732A" w:rsidRDefault="00EF732A" w:rsidP="00865E0C">
      <w:r>
        <w:separator/>
      </w:r>
    </w:p>
  </w:endnote>
  <w:endnote w:type="continuationSeparator" w:id="0">
    <w:p w14:paraId="6A562F89" w14:textId="77777777" w:rsidR="00EF732A" w:rsidRDefault="00EF732A"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1E94" w14:textId="77777777" w:rsidR="00EF732A" w:rsidRDefault="00EF732A" w:rsidP="00865E0C">
      <w:r>
        <w:separator/>
      </w:r>
    </w:p>
  </w:footnote>
  <w:footnote w:type="continuationSeparator" w:id="0">
    <w:p w14:paraId="74958476" w14:textId="77777777" w:rsidR="00EF732A" w:rsidRDefault="00EF732A"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77BE4"/>
    <w:multiLevelType w:val="hybridMultilevel"/>
    <w:tmpl w:val="65562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9"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3" w15:restartNumberingAfterBreak="0">
    <w:nsid w:val="2C8B7F6D"/>
    <w:multiLevelType w:val="hybridMultilevel"/>
    <w:tmpl w:val="437C3A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ECE3176"/>
    <w:multiLevelType w:val="hybridMultilevel"/>
    <w:tmpl w:val="7E2023C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8DD0514"/>
    <w:multiLevelType w:val="hybridMultilevel"/>
    <w:tmpl w:val="3C40C86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5"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15:restartNumberingAfterBreak="0">
    <w:nsid w:val="64C2341D"/>
    <w:multiLevelType w:val="hybridMultilevel"/>
    <w:tmpl w:val="D31ED22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3"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80D0D6A"/>
    <w:multiLevelType w:val="hybridMultilevel"/>
    <w:tmpl w:val="65562A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7"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4"/>
  </w:num>
  <w:num w:numId="3">
    <w:abstractNumId w:val="14"/>
  </w:num>
  <w:num w:numId="4">
    <w:abstractNumId w:val="2"/>
  </w:num>
  <w:num w:numId="5">
    <w:abstractNumId w:val="16"/>
  </w:num>
  <w:num w:numId="6">
    <w:abstractNumId w:val="27"/>
  </w:num>
  <w:num w:numId="7">
    <w:abstractNumId w:val="15"/>
  </w:num>
  <w:num w:numId="8">
    <w:abstractNumId w:val="11"/>
  </w:num>
  <w:num w:numId="9">
    <w:abstractNumId w:val="6"/>
  </w:num>
  <w:num w:numId="10">
    <w:abstractNumId w:val="9"/>
  </w:num>
  <w:num w:numId="11">
    <w:abstractNumId w:val="23"/>
  </w:num>
  <w:num w:numId="12">
    <w:abstractNumId w:val="36"/>
  </w:num>
  <w:num w:numId="13">
    <w:abstractNumId w:val="31"/>
  </w:num>
  <w:num w:numId="14">
    <w:abstractNumId w:val="34"/>
  </w:num>
  <w:num w:numId="15">
    <w:abstractNumId w:val="28"/>
  </w:num>
  <w:num w:numId="16">
    <w:abstractNumId w:val="17"/>
  </w:num>
  <w:num w:numId="17">
    <w:abstractNumId w:val="5"/>
  </w:num>
  <w:num w:numId="18">
    <w:abstractNumId w:val="1"/>
  </w:num>
  <w:num w:numId="19">
    <w:abstractNumId w:val="8"/>
  </w:num>
  <w:num w:numId="20">
    <w:abstractNumId w:val="37"/>
  </w:num>
  <w:num w:numId="21">
    <w:abstractNumId w:val="29"/>
  </w:num>
  <w:num w:numId="22">
    <w:abstractNumId w:val="30"/>
  </w:num>
  <w:num w:numId="23">
    <w:abstractNumId w:val="19"/>
  </w:num>
  <w:num w:numId="24">
    <w:abstractNumId w:val="22"/>
  </w:num>
  <w:num w:numId="25">
    <w:abstractNumId w:val="26"/>
  </w:num>
  <w:num w:numId="26">
    <w:abstractNumId w:val="33"/>
  </w:num>
  <w:num w:numId="27">
    <w:abstractNumId w:val="20"/>
  </w:num>
  <w:num w:numId="28">
    <w:abstractNumId w:val="7"/>
  </w:num>
  <w:num w:numId="29">
    <w:abstractNumId w:val="21"/>
  </w:num>
  <w:num w:numId="30">
    <w:abstractNumId w:val="25"/>
  </w:num>
  <w:num w:numId="31">
    <w:abstractNumId w:val="38"/>
  </w:num>
  <w:num w:numId="32">
    <w:abstractNumId w:val="0"/>
  </w:num>
  <w:num w:numId="33">
    <w:abstractNumId w:val="12"/>
  </w:num>
  <w:num w:numId="34">
    <w:abstractNumId w:val="10"/>
  </w:num>
  <w:num w:numId="35">
    <w:abstractNumId w:val="18"/>
  </w:num>
  <w:num w:numId="36">
    <w:abstractNumId w:val="13"/>
  </w:num>
  <w:num w:numId="37">
    <w:abstractNumId w:val="35"/>
  </w:num>
  <w:num w:numId="38">
    <w:abstractNumId w:val="3"/>
  </w:num>
  <w:num w:numId="3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A13A4"/>
    <w:rsid w:val="000A4D94"/>
    <w:rsid w:val="000B4EB4"/>
    <w:rsid w:val="000B5106"/>
    <w:rsid w:val="000C2140"/>
    <w:rsid w:val="000C3996"/>
    <w:rsid w:val="000C39A6"/>
    <w:rsid w:val="000C4812"/>
    <w:rsid w:val="000C600F"/>
    <w:rsid w:val="000D1598"/>
    <w:rsid w:val="000D39DB"/>
    <w:rsid w:val="000D60AD"/>
    <w:rsid w:val="000E03D6"/>
    <w:rsid w:val="000E04A5"/>
    <w:rsid w:val="000E1EC8"/>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20D47"/>
    <w:rsid w:val="00123D61"/>
    <w:rsid w:val="00125CB3"/>
    <w:rsid w:val="00126E9C"/>
    <w:rsid w:val="00127573"/>
    <w:rsid w:val="00133F20"/>
    <w:rsid w:val="00133F85"/>
    <w:rsid w:val="00134907"/>
    <w:rsid w:val="001358BC"/>
    <w:rsid w:val="001459EC"/>
    <w:rsid w:val="00152EB0"/>
    <w:rsid w:val="0015323E"/>
    <w:rsid w:val="00155722"/>
    <w:rsid w:val="001620E4"/>
    <w:rsid w:val="00163294"/>
    <w:rsid w:val="00166A7F"/>
    <w:rsid w:val="0017153C"/>
    <w:rsid w:val="0017183E"/>
    <w:rsid w:val="00174C88"/>
    <w:rsid w:val="00174F8F"/>
    <w:rsid w:val="00174FCF"/>
    <w:rsid w:val="00175056"/>
    <w:rsid w:val="00181D5F"/>
    <w:rsid w:val="00182CE5"/>
    <w:rsid w:val="0018328B"/>
    <w:rsid w:val="001853D9"/>
    <w:rsid w:val="00185574"/>
    <w:rsid w:val="0018614F"/>
    <w:rsid w:val="00191D00"/>
    <w:rsid w:val="00191D7F"/>
    <w:rsid w:val="00191DEB"/>
    <w:rsid w:val="00192B50"/>
    <w:rsid w:val="00194F39"/>
    <w:rsid w:val="001958B4"/>
    <w:rsid w:val="001960B7"/>
    <w:rsid w:val="001972B8"/>
    <w:rsid w:val="001A08E2"/>
    <w:rsid w:val="001A0CCE"/>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508A2"/>
    <w:rsid w:val="002536BE"/>
    <w:rsid w:val="00253FBC"/>
    <w:rsid w:val="00255C9C"/>
    <w:rsid w:val="00256131"/>
    <w:rsid w:val="00260BB1"/>
    <w:rsid w:val="00262DE5"/>
    <w:rsid w:val="0026519E"/>
    <w:rsid w:val="00265309"/>
    <w:rsid w:val="0026698D"/>
    <w:rsid w:val="002727F1"/>
    <w:rsid w:val="0027365F"/>
    <w:rsid w:val="00276262"/>
    <w:rsid w:val="00276D26"/>
    <w:rsid w:val="00277155"/>
    <w:rsid w:val="002874CB"/>
    <w:rsid w:val="002877BB"/>
    <w:rsid w:val="002921B0"/>
    <w:rsid w:val="0029372C"/>
    <w:rsid w:val="00295103"/>
    <w:rsid w:val="00297A85"/>
    <w:rsid w:val="002A39D2"/>
    <w:rsid w:val="002B0F39"/>
    <w:rsid w:val="002B3598"/>
    <w:rsid w:val="002B6B57"/>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24EC"/>
    <w:rsid w:val="00313C7D"/>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3600"/>
    <w:rsid w:val="004459A6"/>
    <w:rsid w:val="004540D6"/>
    <w:rsid w:val="004563AA"/>
    <w:rsid w:val="0045E4FA"/>
    <w:rsid w:val="00462FD8"/>
    <w:rsid w:val="00464F01"/>
    <w:rsid w:val="00472A2D"/>
    <w:rsid w:val="004738EB"/>
    <w:rsid w:val="00473D9A"/>
    <w:rsid w:val="0047740B"/>
    <w:rsid w:val="00480035"/>
    <w:rsid w:val="004863A1"/>
    <w:rsid w:val="004903D9"/>
    <w:rsid w:val="0049222C"/>
    <w:rsid w:val="0049657D"/>
    <w:rsid w:val="00497209"/>
    <w:rsid w:val="00497703"/>
    <w:rsid w:val="00497C38"/>
    <w:rsid w:val="004A0767"/>
    <w:rsid w:val="004A2759"/>
    <w:rsid w:val="004A3AEA"/>
    <w:rsid w:val="004A4AC9"/>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AE9"/>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B73"/>
    <w:rsid w:val="00565D64"/>
    <w:rsid w:val="00566DDF"/>
    <w:rsid w:val="00573A62"/>
    <w:rsid w:val="00573CB0"/>
    <w:rsid w:val="00581DC7"/>
    <w:rsid w:val="00583117"/>
    <w:rsid w:val="00583328"/>
    <w:rsid w:val="00583AAB"/>
    <w:rsid w:val="005922CB"/>
    <w:rsid w:val="00594629"/>
    <w:rsid w:val="00596A24"/>
    <w:rsid w:val="00596FA0"/>
    <w:rsid w:val="005A7D8D"/>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2688"/>
    <w:rsid w:val="00613B22"/>
    <w:rsid w:val="00613E49"/>
    <w:rsid w:val="00615565"/>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60F0F"/>
    <w:rsid w:val="006611C7"/>
    <w:rsid w:val="00661DFB"/>
    <w:rsid w:val="00665C34"/>
    <w:rsid w:val="00666086"/>
    <w:rsid w:val="00667DE6"/>
    <w:rsid w:val="0067134D"/>
    <w:rsid w:val="006724BB"/>
    <w:rsid w:val="00674CDF"/>
    <w:rsid w:val="0067503C"/>
    <w:rsid w:val="00680370"/>
    <w:rsid w:val="006824E0"/>
    <w:rsid w:val="00685872"/>
    <w:rsid w:val="006878A5"/>
    <w:rsid w:val="00692023"/>
    <w:rsid w:val="00695AEF"/>
    <w:rsid w:val="00696C06"/>
    <w:rsid w:val="00697B27"/>
    <w:rsid w:val="006A0C74"/>
    <w:rsid w:val="006A26D0"/>
    <w:rsid w:val="006A5130"/>
    <w:rsid w:val="006A6244"/>
    <w:rsid w:val="006A6868"/>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3CB4"/>
    <w:rsid w:val="007547B8"/>
    <w:rsid w:val="0075642C"/>
    <w:rsid w:val="00756AC7"/>
    <w:rsid w:val="00760837"/>
    <w:rsid w:val="007654DC"/>
    <w:rsid w:val="00766784"/>
    <w:rsid w:val="00767840"/>
    <w:rsid w:val="00770D0B"/>
    <w:rsid w:val="00773E31"/>
    <w:rsid w:val="00780975"/>
    <w:rsid w:val="0078219C"/>
    <w:rsid w:val="0078345B"/>
    <w:rsid w:val="00787706"/>
    <w:rsid w:val="00787C66"/>
    <w:rsid w:val="0079031E"/>
    <w:rsid w:val="00794928"/>
    <w:rsid w:val="007971BB"/>
    <w:rsid w:val="007A17B6"/>
    <w:rsid w:val="007A2260"/>
    <w:rsid w:val="007B679A"/>
    <w:rsid w:val="007B6D7B"/>
    <w:rsid w:val="007C2757"/>
    <w:rsid w:val="007C510F"/>
    <w:rsid w:val="007D20F1"/>
    <w:rsid w:val="007D5D3C"/>
    <w:rsid w:val="007D710D"/>
    <w:rsid w:val="007E5894"/>
    <w:rsid w:val="007E761D"/>
    <w:rsid w:val="007F09F5"/>
    <w:rsid w:val="007F203E"/>
    <w:rsid w:val="007F4640"/>
    <w:rsid w:val="007F5E61"/>
    <w:rsid w:val="008015E8"/>
    <w:rsid w:val="00801A57"/>
    <w:rsid w:val="00801AE7"/>
    <w:rsid w:val="00805BC8"/>
    <w:rsid w:val="0080684A"/>
    <w:rsid w:val="0081151F"/>
    <w:rsid w:val="008118D4"/>
    <w:rsid w:val="008127CE"/>
    <w:rsid w:val="00821CD9"/>
    <w:rsid w:val="00822AFB"/>
    <w:rsid w:val="008242FB"/>
    <w:rsid w:val="008309FF"/>
    <w:rsid w:val="00833A3A"/>
    <w:rsid w:val="008354A8"/>
    <w:rsid w:val="00835BE3"/>
    <w:rsid w:val="008364A9"/>
    <w:rsid w:val="008406AD"/>
    <w:rsid w:val="0084270A"/>
    <w:rsid w:val="00846BDD"/>
    <w:rsid w:val="00847AC5"/>
    <w:rsid w:val="00850571"/>
    <w:rsid w:val="00851994"/>
    <w:rsid w:val="00852FA1"/>
    <w:rsid w:val="00861088"/>
    <w:rsid w:val="00862C5B"/>
    <w:rsid w:val="0086304B"/>
    <w:rsid w:val="008634ED"/>
    <w:rsid w:val="00864B86"/>
    <w:rsid w:val="00865E0C"/>
    <w:rsid w:val="0087524F"/>
    <w:rsid w:val="00875E17"/>
    <w:rsid w:val="00876C02"/>
    <w:rsid w:val="00880984"/>
    <w:rsid w:val="00880FBC"/>
    <w:rsid w:val="00885EAF"/>
    <w:rsid w:val="00886F7C"/>
    <w:rsid w:val="0089080D"/>
    <w:rsid w:val="00892EE7"/>
    <w:rsid w:val="008942E7"/>
    <w:rsid w:val="00895C42"/>
    <w:rsid w:val="00897C6B"/>
    <w:rsid w:val="008A38E4"/>
    <w:rsid w:val="008A3ED8"/>
    <w:rsid w:val="008B1AA1"/>
    <w:rsid w:val="008B1ADC"/>
    <w:rsid w:val="008B391A"/>
    <w:rsid w:val="008C13C3"/>
    <w:rsid w:val="008C1ADE"/>
    <w:rsid w:val="008C1E68"/>
    <w:rsid w:val="008C562F"/>
    <w:rsid w:val="008C6823"/>
    <w:rsid w:val="008C7E96"/>
    <w:rsid w:val="008D3895"/>
    <w:rsid w:val="008D47EB"/>
    <w:rsid w:val="008D4F08"/>
    <w:rsid w:val="008D68A2"/>
    <w:rsid w:val="008D6D90"/>
    <w:rsid w:val="008D74E7"/>
    <w:rsid w:val="008E395C"/>
    <w:rsid w:val="008E570F"/>
    <w:rsid w:val="008E602C"/>
    <w:rsid w:val="008E6DBA"/>
    <w:rsid w:val="008F0ABD"/>
    <w:rsid w:val="008F260D"/>
    <w:rsid w:val="008F269F"/>
    <w:rsid w:val="008F37CB"/>
    <w:rsid w:val="0090101F"/>
    <w:rsid w:val="00903E2C"/>
    <w:rsid w:val="00905626"/>
    <w:rsid w:val="00911D4E"/>
    <w:rsid w:val="00912596"/>
    <w:rsid w:val="00912A9C"/>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963A1"/>
    <w:rsid w:val="00AA3C39"/>
    <w:rsid w:val="00AB1D96"/>
    <w:rsid w:val="00AB2D4B"/>
    <w:rsid w:val="00AB32DA"/>
    <w:rsid w:val="00AB5064"/>
    <w:rsid w:val="00AB5154"/>
    <w:rsid w:val="00AB5218"/>
    <w:rsid w:val="00AB6B6C"/>
    <w:rsid w:val="00AC03F6"/>
    <w:rsid w:val="00AC2493"/>
    <w:rsid w:val="00AD0842"/>
    <w:rsid w:val="00AD1647"/>
    <w:rsid w:val="00AD2807"/>
    <w:rsid w:val="00AE56FF"/>
    <w:rsid w:val="00B01DCA"/>
    <w:rsid w:val="00B044C5"/>
    <w:rsid w:val="00B07F23"/>
    <w:rsid w:val="00B106A0"/>
    <w:rsid w:val="00B10E25"/>
    <w:rsid w:val="00B1176C"/>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5C08"/>
    <w:rsid w:val="00B37072"/>
    <w:rsid w:val="00B37AEE"/>
    <w:rsid w:val="00B41CD5"/>
    <w:rsid w:val="00B452E5"/>
    <w:rsid w:val="00B46BBD"/>
    <w:rsid w:val="00B47592"/>
    <w:rsid w:val="00B534DD"/>
    <w:rsid w:val="00B61396"/>
    <w:rsid w:val="00B623E0"/>
    <w:rsid w:val="00B63418"/>
    <w:rsid w:val="00B7178B"/>
    <w:rsid w:val="00B725F0"/>
    <w:rsid w:val="00B72B52"/>
    <w:rsid w:val="00B733F5"/>
    <w:rsid w:val="00B818C5"/>
    <w:rsid w:val="00B86446"/>
    <w:rsid w:val="00B9339B"/>
    <w:rsid w:val="00B9357A"/>
    <w:rsid w:val="00B94E9B"/>
    <w:rsid w:val="00B975BB"/>
    <w:rsid w:val="00BA1B5C"/>
    <w:rsid w:val="00BA2D7B"/>
    <w:rsid w:val="00BA347F"/>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59E3"/>
    <w:rsid w:val="00C035A8"/>
    <w:rsid w:val="00C05106"/>
    <w:rsid w:val="00C06D5F"/>
    <w:rsid w:val="00C15330"/>
    <w:rsid w:val="00C21A33"/>
    <w:rsid w:val="00C22C0E"/>
    <w:rsid w:val="00C3051A"/>
    <w:rsid w:val="00C30685"/>
    <w:rsid w:val="00C32A09"/>
    <w:rsid w:val="00C33323"/>
    <w:rsid w:val="00C40E7C"/>
    <w:rsid w:val="00C415AE"/>
    <w:rsid w:val="00C44D2A"/>
    <w:rsid w:val="00C51F13"/>
    <w:rsid w:val="00C529C0"/>
    <w:rsid w:val="00C539F2"/>
    <w:rsid w:val="00C56D16"/>
    <w:rsid w:val="00C57A4B"/>
    <w:rsid w:val="00C65B1B"/>
    <w:rsid w:val="00C717F2"/>
    <w:rsid w:val="00C72B0B"/>
    <w:rsid w:val="00C73F48"/>
    <w:rsid w:val="00C750B8"/>
    <w:rsid w:val="00C77A0A"/>
    <w:rsid w:val="00C77C11"/>
    <w:rsid w:val="00C81EDC"/>
    <w:rsid w:val="00C83539"/>
    <w:rsid w:val="00C83BC7"/>
    <w:rsid w:val="00C83C73"/>
    <w:rsid w:val="00C8697A"/>
    <w:rsid w:val="00C8711E"/>
    <w:rsid w:val="00C9125A"/>
    <w:rsid w:val="00C91551"/>
    <w:rsid w:val="00C93CB8"/>
    <w:rsid w:val="00C946F4"/>
    <w:rsid w:val="00C95461"/>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0328"/>
    <w:rsid w:val="00CD2723"/>
    <w:rsid w:val="00CD527A"/>
    <w:rsid w:val="00CD59B9"/>
    <w:rsid w:val="00CD6233"/>
    <w:rsid w:val="00CD7CB5"/>
    <w:rsid w:val="00CE07FF"/>
    <w:rsid w:val="00CE1F00"/>
    <w:rsid w:val="00CE2790"/>
    <w:rsid w:val="00CE3D2F"/>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2DA2"/>
    <w:rsid w:val="00D4505C"/>
    <w:rsid w:val="00D45BA2"/>
    <w:rsid w:val="00D47F3D"/>
    <w:rsid w:val="00D55AED"/>
    <w:rsid w:val="00D565E1"/>
    <w:rsid w:val="00D56CD1"/>
    <w:rsid w:val="00D570BE"/>
    <w:rsid w:val="00D57823"/>
    <w:rsid w:val="00D60C10"/>
    <w:rsid w:val="00D64FFE"/>
    <w:rsid w:val="00D66B55"/>
    <w:rsid w:val="00D70D54"/>
    <w:rsid w:val="00D71790"/>
    <w:rsid w:val="00D747AF"/>
    <w:rsid w:val="00D74A64"/>
    <w:rsid w:val="00D7618D"/>
    <w:rsid w:val="00D84787"/>
    <w:rsid w:val="00D85A63"/>
    <w:rsid w:val="00D96FD4"/>
    <w:rsid w:val="00D9FA6D"/>
    <w:rsid w:val="00DA1A71"/>
    <w:rsid w:val="00DA396A"/>
    <w:rsid w:val="00DA6C3A"/>
    <w:rsid w:val="00DA6E0B"/>
    <w:rsid w:val="00DB1B89"/>
    <w:rsid w:val="00DB3A51"/>
    <w:rsid w:val="00DC39B9"/>
    <w:rsid w:val="00DC3FF7"/>
    <w:rsid w:val="00DC62D5"/>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6091"/>
    <w:rsid w:val="00E77705"/>
    <w:rsid w:val="00E80972"/>
    <w:rsid w:val="00E80A2E"/>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75C7"/>
    <w:rsid w:val="00EF0A4D"/>
    <w:rsid w:val="00EF2B95"/>
    <w:rsid w:val="00EF3115"/>
    <w:rsid w:val="00EF60CE"/>
    <w:rsid w:val="00EF732A"/>
    <w:rsid w:val="00EF77A5"/>
    <w:rsid w:val="00EF77C8"/>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38E"/>
    <w:rsid w:val="00F57AF9"/>
    <w:rsid w:val="00F64358"/>
    <w:rsid w:val="00F66F17"/>
    <w:rsid w:val="00F72805"/>
    <w:rsid w:val="00F74D27"/>
    <w:rsid w:val="00F75D1B"/>
    <w:rsid w:val="00F766E0"/>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character" w:styleId="Hipervnculovisitado">
    <w:name w:val="FollowedHyperlink"/>
    <w:basedOn w:val="Fuentedeprrafopredeter"/>
    <w:uiPriority w:val="99"/>
    <w:semiHidden/>
    <w:unhideWhenUsed/>
    <w:rsid w:val="0056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165">
      <w:bodyDiv w:val="1"/>
      <w:marLeft w:val="0"/>
      <w:marRight w:val="0"/>
      <w:marTop w:val="0"/>
      <w:marBottom w:val="0"/>
      <w:divBdr>
        <w:top w:val="none" w:sz="0" w:space="0" w:color="auto"/>
        <w:left w:val="none" w:sz="0" w:space="0" w:color="auto"/>
        <w:bottom w:val="none" w:sz="0" w:space="0" w:color="auto"/>
        <w:right w:val="none" w:sz="0" w:space="0" w:color="auto"/>
      </w:divBdr>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363289493">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o.int/es/news-room/fact-sheets/detail/gonorrhoea-(neisseria-gonorrhoeae-inf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ho.int/es/news/item/27-02-2017-who-publishes-list-of-bacteria-for-which-new-antibiotics-are-urgently-need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5.xml><?xml version="1.0" encoding="utf-8"?>
<ds:datastoreItem xmlns:ds="http://schemas.openxmlformats.org/officeDocument/2006/customXml" ds:itemID="{BB7FC5B2-38DF-4AB0-AC45-E56D7B7AB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1448</Words>
  <Characters>7969</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8</cp:revision>
  <cp:lastPrinted>2023-10-18T02:36:00Z</cp:lastPrinted>
  <dcterms:created xsi:type="dcterms:W3CDTF">2024-10-16T16:07:00Z</dcterms:created>
  <dcterms:modified xsi:type="dcterms:W3CDTF">2025-04-23T16:31:00Z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ies>
</file>