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Plan de Clase 2: Proceso Salud–Enfermedad</w:t>
      </w:r>
    </w:p>
    <w:p>
      <w:pPr>
        <w:pStyle w:val="Heading2"/>
      </w:pPr>
      <w:r>
        <w:t>Unidad Temática 1.2</w:t>
      </w:r>
    </w:p>
    <w:p>
      <w:r>
        <w:t>1.2.1 Definición del proceso Salud–Enfermedad</w:t>
        <w:br/>
        <w:t>1.2.2 Enfoque biopsicosocial de la salud</w:t>
      </w:r>
    </w:p>
    <w:tbl>
      <w:tblPr>
        <w:tblStyle w:val="LightList-Accent1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Fecha</w:t>
            </w:r>
          </w:p>
        </w:tc>
        <w:tc>
          <w:tcPr>
            <w:tcW w:type="dxa" w:w="4320"/>
          </w:tcPr>
          <w:p>
            <w:r>
              <w:t>Semana 2</w:t>
            </w:r>
          </w:p>
        </w:tc>
      </w:tr>
      <w:tr>
        <w:tc>
          <w:tcPr>
            <w:tcW w:type="dxa" w:w="4320"/>
          </w:tcPr>
          <w:p>
            <w:r>
              <w:t>Duración total</w:t>
            </w:r>
          </w:p>
        </w:tc>
        <w:tc>
          <w:tcPr>
            <w:tcW w:type="dxa" w:w="4320"/>
          </w:tcPr>
          <w:p>
            <w:r>
              <w:t>2 h contacto + 1 h práctico + 2 h autónomo</w:t>
            </w:r>
          </w:p>
        </w:tc>
      </w:tr>
      <w:tr>
        <w:tc>
          <w:tcPr>
            <w:tcW w:type="dxa" w:w="4320"/>
          </w:tcPr>
          <w:p>
            <w:r>
              <w:t>Resultado de aprendizaje</w:t>
            </w:r>
          </w:p>
        </w:tc>
        <w:tc>
          <w:tcPr>
            <w:tcW w:type="dxa" w:w="4320"/>
          </w:tcPr>
          <w:p>
            <w:r>
              <w:t>Maneja con objetividad conceptos básicos en Salud Pública, para identificar los elementos que intervienen en el proceso salud-enfermedad.</w:t>
            </w:r>
          </w:p>
        </w:tc>
      </w:tr>
      <w:tr>
        <w:tc>
          <w:tcPr>
            <w:tcW w:type="dxa" w:w="4320"/>
          </w:tcPr>
          <w:p>
            <w:r>
              <w:t>Objetivos específicos</w:t>
            </w:r>
          </w:p>
        </w:tc>
        <w:tc>
          <w:tcPr>
            <w:tcW w:type="dxa" w:w="4320"/>
          </w:tcPr>
          <w:p>
            <w:r>
              <w:t>1. Explicar las fases del proceso salud–enfermedad.</w:t>
              <w:br/>
              <w:t>2. Aplicar el enfoque biopsicosocial al análisis de un caso clínico comunitario.</w:t>
            </w:r>
          </w:p>
        </w:tc>
      </w:tr>
      <w:tr>
        <w:tc>
          <w:tcPr>
            <w:tcW w:type="dxa" w:w="4320"/>
          </w:tcPr>
          <w:p>
            <w:r>
              <w:t>Contenidos</w:t>
            </w:r>
          </w:p>
        </w:tc>
        <w:tc>
          <w:tcPr>
            <w:tcW w:type="dxa" w:w="4320"/>
          </w:tcPr>
          <w:p>
            <w:r>
              <w:t>Modelo de proceso salud–enfermedad.</w:t>
              <w:br/>
              <w:t>Componentes del enfoque biopsicosocial.</w:t>
            </w:r>
          </w:p>
        </w:tc>
      </w:tr>
    </w:tbl>
    <w:p>
      <w:pPr>
        <w:pStyle w:val="Heading2"/>
      </w:pPr>
      <w:r>
        <w:t>Metodología y actividades</w:t>
      </w:r>
    </w:p>
    <w:p>
      <w:r>
        <w:t>• Contacto con docente (2 h):</w:t>
      </w:r>
    </w:p>
    <w:p>
      <w:pPr>
        <w:pStyle w:val="ListBullet"/>
      </w:pPr>
      <w:r>
        <w:t xml:space="preserve">  - Seminario participativo con discusión de lecturas previas.</w:t>
      </w:r>
    </w:p>
    <w:p>
      <w:pPr>
        <w:pStyle w:val="ListBullet"/>
      </w:pPr>
      <w:r>
        <w:t xml:space="preserve">  - Presentación de un caso clínico breve (familia en zona rural).</w:t>
      </w:r>
    </w:p>
    <w:p>
      <w:r>
        <w:t>• Práctico-experimental (1 h):</w:t>
      </w:r>
    </w:p>
    <w:p>
      <w:pPr>
        <w:pStyle w:val="ListBullet"/>
      </w:pPr>
      <w:r>
        <w:t xml:space="preserve">  - Role-play en parejas: entrevista semiestructurada para identificar determinantes biopsicosociales.</w:t>
      </w:r>
    </w:p>
    <w:p>
      <w:r>
        <w:t>• Autónomo (2 h):</w:t>
      </w:r>
    </w:p>
    <w:p>
      <w:pPr>
        <w:pStyle w:val="ListBullet"/>
      </w:pPr>
      <w:r>
        <w:t xml:space="preserve">  - Elaboración de un ensayo corto (máx. 300 palabras) sobre cómo influyen los factores psicosociales en la salud.</w:t>
      </w:r>
    </w:p>
    <w:p>
      <w:pPr>
        <w:pStyle w:val="Heading2"/>
      </w:pPr>
      <w:r>
        <w:t>Recursos</w:t>
      </w:r>
    </w:p>
    <w:p>
      <w:r>
        <w:t>• Lecturas seleccionadas (artículo sobre modelo biopsicosocial).</w:t>
        <w:br/>
        <w:t>• Guía de entrevista semiestructurada.</w:t>
      </w:r>
    </w:p>
    <w:p>
      <w:pPr>
        <w:pStyle w:val="Heading2"/>
      </w:pPr>
      <w:r>
        <w:t>Evaluación</w:t>
      </w:r>
    </w:p>
    <w:p>
      <w:r>
        <w:t>• Tipo: Formativa.</w:t>
        <w:br/>
        <w:t>• Técnica e instrumento: Estudio de caso escrito.</w:t>
        <w:br/>
        <w:t>• Criterio: Analizar e integrar correctamente los determinantes biológicos, psicológicos y sociales.</w:t>
        <w:br/>
        <w:t>• Evidencia: Ensayo calificado (10 puntos).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2181459A764D419DF1CF597F6F2C4E" ma:contentTypeVersion="3" ma:contentTypeDescription="Crear nuevo documento." ma:contentTypeScope="" ma:versionID="6848dbb47093746a59b0d32fca5e9f6f">
  <xsd:schema xmlns:xsd="http://www.w3.org/2001/XMLSchema" xmlns:xs="http://www.w3.org/2001/XMLSchema" xmlns:p="http://schemas.microsoft.com/office/2006/metadata/properties" xmlns:ns2="b15f7b8e-0fa9-40b3-a530-5d9fed4ce4bb" targetNamespace="http://schemas.microsoft.com/office/2006/metadata/properties" ma:root="true" ma:fieldsID="007edb09774ec16ee791c531795a370c" ns2:_="">
    <xsd:import namespace="b15f7b8e-0fa9-40b3-a530-5d9fed4ce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7b8e-0fa9-40b3-a530-5d9fed4ce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28551-EE45-4BAF-AE73-A1ECAEF8E6F5}"/>
</file>

<file path=customXml/itemProps3.xml><?xml version="1.0" encoding="utf-8"?>
<ds:datastoreItem xmlns:ds="http://schemas.openxmlformats.org/officeDocument/2006/customXml" ds:itemID="{24C893F1-50B7-412C-8BBA-827E6886665B}"/>
</file>

<file path=customXml/itemProps4.xml><?xml version="1.0" encoding="utf-8"?>
<ds:datastoreItem xmlns:ds="http://schemas.openxmlformats.org/officeDocument/2006/customXml" ds:itemID="{3EBF2C1C-F488-4F50-B3FD-30B4DDF293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0x0101009B2181459A764D419DF1CF597F6F2C4E</vt:lpwstr>
  </property>
</Properties>
</file>