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98" w:rsidRPr="0077463F" w:rsidRDefault="00E31398" w:rsidP="0077463F">
      <w:pPr>
        <w:shd w:val="clear" w:color="auto" w:fill="FFF2CC" w:themeFill="accent4" w:themeFillTint="33"/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Century Gothic,Bold"/>
          <w:b/>
          <w:bCs/>
          <w:sz w:val="28"/>
          <w:szCs w:val="24"/>
        </w:rPr>
      </w:pPr>
      <w:r w:rsidRPr="0077463F">
        <w:rPr>
          <w:rFonts w:ascii="Palatino Linotype" w:hAnsi="Palatino Linotype" w:cs="Century Gothic,Bold"/>
          <w:b/>
          <w:bCs/>
          <w:sz w:val="28"/>
          <w:szCs w:val="24"/>
        </w:rPr>
        <w:t>SISTEMA DE EVALUACIÓN</w:t>
      </w:r>
    </w:p>
    <w:p w:rsidR="00E31398" w:rsidRPr="0077463F" w:rsidRDefault="00E31398" w:rsidP="0077463F">
      <w:pPr>
        <w:shd w:val="clear" w:color="auto" w:fill="FFF2CC" w:themeFill="accent4" w:themeFillTint="33"/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Century Gothic,Bold"/>
          <w:b/>
          <w:bCs/>
          <w:sz w:val="28"/>
          <w:szCs w:val="24"/>
        </w:rPr>
      </w:pPr>
      <w:r w:rsidRPr="0077463F">
        <w:rPr>
          <w:rFonts w:ascii="Palatino Linotype" w:hAnsi="Palatino Linotype" w:cs="Century Gothic,Bold"/>
          <w:b/>
          <w:bCs/>
          <w:sz w:val="28"/>
          <w:szCs w:val="24"/>
        </w:rPr>
        <w:t>SEGUNDO PARCIAL</w:t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E31398" w:rsidRPr="00E31398" w:rsidRDefault="00E31398" w:rsidP="0077463F">
      <w:pPr>
        <w:shd w:val="clear" w:color="auto" w:fill="FBE4D5" w:themeFill="accent2" w:themeFillTint="33"/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 xml:space="preserve">ACTIVIDADES DE DOCENCIA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P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color w:val="FF0000"/>
          <w:sz w:val="24"/>
          <w:szCs w:val="24"/>
        </w:rPr>
      </w:pPr>
      <w:r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 xml:space="preserve">1.- </w:t>
      </w:r>
      <w:r w:rsidRPr="0077463F"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>Lección</w:t>
      </w:r>
      <w:r w:rsidR="00E31398" w:rsidRPr="0077463F"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 xml:space="preserve"> oral aplicando metodología IDEA</w:t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  <w:r w:rsidRPr="0077463F">
        <w:rPr>
          <w:rFonts w:ascii="Palatino Linotype" w:hAnsi="Palatino Linotype" w:cs="Century Gothic,Bold"/>
          <w:b/>
          <w:bCs/>
          <w:color w:val="000000" w:themeColor="text1"/>
          <w:sz w:val="24"/>
          <w:szCs w:val="24"/>
        </w:rPr>
        <w:t>Selección aleatoria:</w:t>
      </w:r>
      <w:r>
        <w:rPr>
          <w:rFonts w:ascii="Palatino Linotype" w:hAnsi="Palatino Linotype" w:cs="Century Gothic,Bold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  <w:t xml:space="preserve">El docente puede seleccionar de manera aleatoria a un estudiante </w:t>
      </w: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77463F">
        <w:rPr>
          <w:rFonts w:ascii="Palatino Linotype" w:hAnsi="Palatino Linotype" w:cs="Century Gothic,Bold"/>
          <w:b/>
          <w:bCs/>
          <w:sz w:val="24"/>
          <w:szCs w:val="24"/>
        </w:rPr>
        <w:t>Selección voluntaria:</w:t>
      </w:r>
      <w:r w:rsidRPr="0077463F">
        <w:t xml:space="preserve"> </w:t>
      </w:r>
      <w:r w:rsidRPr="0077463F">
        <w:rPr>
          <w:rFonts w:ascii="Palatino Linotype" w:hAnsi="Palatino Linotype" w:cs="Century Gothic,Bold"/>
          <w:bCs/>
          <w:sz w:val="24"/>
          <w:szCs w:val="24"/>
        </w:rPr>
        <w:t>Se puede pedir a los estudiantes que se presenten voluntariamente para la lección oral.</w:t>
      </w:r>
    </w:p>
    <w:p w:rsidR="00E31398" w:rsidRDefault="00E31398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77463F">
        <w:rPr>
          <w:rFonts w:ascii="Palatino Linotype" w:hAnsi="Palatino Linotype" w:cs="Century Gothic,Bold"/>
          <w:b/>
          <w:bCs/>
          <w:sz w:val="24"/>
          <w:szCs w:val="24"/>
        </w:rPr>
        <w:t>Selección por parejas o grupos:</w:t>
      </w: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 </w:t>
      </w:r>
      <w:r w:rsidRPr="0077463F">
        <w:rPr>
          <w:rFonts w:ascii="Palatino Linotype" w:hAnsi="Palatino Linotype" w:cs="Century Gothic,Bold"/>
          <w:bCs/>
          <w:sz w:val="24"/>
          <w:szCs w:val="24"/>
        </w:rPr>
        <w:t>En algunos casos, se seleccionará a estudiantes para que trabajen en parejas o grupos para la lección oral. (Debates, foros, mesa redonda)</w:t>
      </w: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NOTA: </w:t>
      </w:r>
      <w:r w:rsidRPr="0077463F">
        <w:rPr>
          <w:rFonts w:ascii="Palatino Linotype" w:hAnsi="Palatino Linotype" w:cs="Century Gothic,Bold"/>
          <w:bCs/>
          <w:sz w:val="24"/>
          <w:szCs w:val="24"/>
        </w:rPr>
        <w:t>El hecho que un estudiante haya dado la lección</w:t>
      </w:r>
      <w:r>
        <w:rPr>
          <w:rFonts w:ascii="Palatino Linotype" w:hAnsi="Palatino Linotype" w:cs="Century Gothic,Bold"/>
          <w:bCs/>
          <w:sz w:val="24"/>
          <w:szCs w:val="24"/>
        </w:rPr>
        <w:t>,</w:t>
      </w:r>
      <w:r w:rsidRPr="0077463F">
        <w:rPr>
          <w:rFonts w:ascii="Palatino Linotype" w:hAnsi="Palatino Linotype" w:cs="Century Gothic,Bold"/>
          <w:bCs/>
          <w:sz w:val="24"/>
          <w:szCs w:val="24"/>
        </w:rPr>
        <w:t xml:space="preserve"> no significa que </w:t>
      </w:r>
      <w:r>
        <w:rPr>
          <w:rFonts w:ascii="Palatino Linotype" w:hAnsi="Palatino Linotype" w:cs="Century Gothic,Bold"/>
          <w:bCs/>
          <w:sz w:val="24"/>
          <w:szCs w:val="24"/>
        </w:rPr>
        <w:t xml:space="preserve">ya no pueda ser seleccionado para que de la lección oral 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color w:val="FF0000"/>
          <w:sz w:val="24"/>
          <w:szCs w:val="24"/>
        </w:rPr>
      </w:pPr>
      <w:r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 xml:space="preserve">2.- </w:t>
      </w:r>
      <w:r w:rsidR="00E31398" w:rsidRPr="0077463F"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>Prueba de conocimientos (reactivo)</w:t>
      </w:r>
      <w:r w:rsidR="00E31398" w:rsidRPr="0077463F"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ab/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color w:val="FF0000"/>
          <w:sz w:val="24"/>
          <w:szCs w:val="24"/>
        </w:rPr>
      </w:pP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  <w:r w:rsidRPr="0077463F"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  <w:t>La prueba de conocimiento contempla todo el contenido de la asignatura, será practica más que teórica</w:t>
      </w: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</w:p>
    <w:p w:rsidR="0077463F" w:rsidRP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</w:pPr>
      <w:r w:rsidRPr="0077463F">
        <w:rPr>
          <w:rFonts w:ascii="Palatino Linotype" w:hAnsi="Palatino Linotype" w:cs="Century Gothic,Bold"/>
          <w:b/>
          <w:bCs/>
          <w:color w:val="000000" w:themeColor="text1"/>
          <w:sz w:val="24"/>
          <w:szCs w:val="24"/>
        </w:rPr>
        <w:t>NOTA:</w:t>
      </w:r>
      <w:r w:rsidRPr="0077463F"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  <w:t xml:space="preserve"> Los estudiantes que logren la carta de aceptación o publicación</w:t>
      </w:r>
      <w:r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  <w:t xml:space="preserve"> del artí</w:t>
      </w:r>
      <w:r w:rsidRPr="0077463F">
        <w:rPr>
          <w:rFonts w:ascii="Palatino Linotype" w:hAnsi="Palatino Linotype" w:cs="Century Gothic,Bold"/>
          <w:bCs/>
          <w:color w:val="000000" w:themeColor="text1"/>
          <w:sz w:val="24"/>
          <w:szCs w:val="24"/>
        </w:rPr>
        <w:t xml:space="preserve">culo académico será exonerado de la prueba final </w:t>
      </w:r>
    </w:p>
    <w:p w:rsidR="00E31398" w:rsidRPr="0077463F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color w:val="FF0000"/>
          <w:sz w:val="24"/>
          <w:szCs w:val="24"/>
        </w:rPr>
      </w:pPr>
      <w:r w:rsidRPr="0077463F">
        <w:rPr>
          <w:rFonts w:ascii="Palatino Linotype" w:hAnsi="Palatino Linotype" w:cs="Century Gothic,Bold"/>
          <w:b/>
          <w:bCs/>
          <w:color w:val="FF0000"/>
          <w:sz w:val="24"/>
          <w:szCs w:val="24"/>
        </w:rPr>
        <w:tab/>
      </w:r>
    </w:p>
    <w:p w:rsidR="00E31398" w:rsidRPr="00E31398" w:rsidRDefault="00E31398" w:rsidP="0077463F">
      <w:pPr>
        <w:shd w:val="clear" w:color="auto" w:fill="FBE4D5" w:themeFill="accent2" w:themeFillTint="33"/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 xml:space="preserve">ACTIVIDADES PRÁCTICO-EXPERIMENTAL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/>
          <w:bCs/>
          <w:sz w:val="24"/>
          <w:szCs w:val="24"/>
        </w:rPr>
        <w:t>Contenido</w:t>
      </w: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 del informe de investigación formativa 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</w:p>
    <w:p w:rsidR="001D19F0" w:rsidRDefault="001D19F0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>
        <w:rPr>
          <w:rFonts w:ascii="Palatino Linotype" w:hAnsi="Palatino Linotype" w:cs="Century Gothic,Bold"/>
          <w:bCs/>
          <w:sz w:val="24"/>
          <w:szCs w:val="24"/>
        </w:rPr>
        <w:t xml:space="preserve">Portada 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1.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Autores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2.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Personal Académico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lastRenderedPageBreak/>
        <w:t>3.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Resultados de Aprendizaje de la asignatura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4.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Tema de la Actividad de la Investigación Formativa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5.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Objetivos de la(s) actividad(es)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6.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Fecha de la ejecución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Desarrollo del Informe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7.1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Introducción. (2 página)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7.2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Marco teórico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7.2.1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Estado del arte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7.2.2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Fundamentación teórica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 xml:space="preserve">7.3. 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Marco Metodológico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7.4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Descripción de la(s) acción(es) realizadas (Fase de Ejecución y Seguimiento y Fase de Socialización y Reflexión)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7.5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Resultados y discusión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7.6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Conclusiones y recomendaciones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7.7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Bibliografía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>8.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  <w:t>ANEXOS (Evidencias)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ab/>
      </w:r>
    </w:p>
    <w:p w:rsidR="00CE0727" w:rsidRDefault="00CE0727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E31398" w:rsidRPr="00E31398" w:rsidRDefault="00E31398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 xml:space="preserve">Fases e informe de la Investigación Formativa 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2.-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Fase de Ejecución y Seguimiento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1. Implementar la Actividad de Investigación Formativa pautada.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2. Realizar seguimiento permanente a los estudiantes de acuerdo a lo establecido en la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fase de planificación.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3. Registrar y conservar evidencias que se consideren necesarias.</w:t>
      </w: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3.-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Fase de Socialización y Reflexión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1. Coordinar con los estudiantes la socialización de los resultados.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2. Dirigir la actividad de reflexión con los estudiantes.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3. Reorientar el aprendizaje en los estudiantes.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4. Reflexionar sobre la práctica docente.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5. Registrar y conservar evidencias que se consideren necesarias.</w:t>
      </w:r>
    </w:p>
    <w:p w:rsidR="0077463F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/>
          <w:bCs/>
          <w:sz w:val="24"/>
          <w:szCs w:val="24"/>
        </w:rPr>
      </w:pP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4.- 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Fase de Evaluación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1. Evaluar el cumplimiento de las acciones realizadas pautadas en la Actividad(es) de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Investigación Formativa.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2. Evaluar el logro de aprendizaje de los estudiantes dependiendo de la actividad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realizada.</w:t>
      </w:r>
    </w:p>
    <w:p w:rsidR="0077463F" w:rsidRPr="00E31398" w:rsidRDefault="0077463F" w:rsidP="0077463F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"/>
          <w:sz w:val="24"/>
          <w:szCs w:val="24"/>
        </w:rPr>
      </w:pPr>
      <w:r w:rsidRPr="00E31398">
        <w:rPr>
          <w:rFonts w:ascii="Palatino Linotype" w:hAnsi="Palatino Linotype" w:cs="Century Gothic"/>
          <w:sz w:val="24"/>
          <w:szCs w:val="24"/>
        </w:rPr>
        <w:t>3. Registrar y conservar evidencias que se consideren necesarias.</w:t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Default="00DD0566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>
        <w:rPr>
          <w:rFonts w:ascii="Palatino Linotype" w:hAnsi="Palatino Linotype" w:cs="Century Gothic,Bold"/>
          <w:b/>
          <w:bCs/>
          <w:sz w:val="24"/>
          <w:szCs w:val="24"/>
        </w:rPr>
        <w:t xml:space="preserve">Análisis de jurisprudencia </w:t>
      </w:r>
    </w:p>
    <w:p w:rsidR="00DD0566" w:rsidRDefault="00DD0566" w:rsidP="00DD0566">
      <w:pPr>
        <w:spacing w:after="0" w:line="276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</w:pPr>
    </w:p>
    <w:p w:rsidR="00DD0566" w:rsidRPr="003507FD" w:rsidRDefault="00DD0566" w:rsidP="00DD0566">
      <w:pPr>
        <w:spacing w:after="0" w:line="276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INFORME DE ANÁLISIS DE JURISPRUDENCIA SOBRE LOS DERECHOS DE LOS PUEBLOS INDÍGENAS</w:t>
      </w:r>
    </w:p>
    <w:p w:rsidR="00DD0566" w:rsidRPr="003507FD" w:rsidRDefault="00DD0566" w:rsidP="00DD0566">
      <w:pPr>
        <w:spacing w:after="0" w:line="276" w:lineRule="auto"/>
        <w:outlineLvl w:val="1"/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</w:pPr>
    </w:p>
    <w:p w:rsidR="00DD0566" w:rsidRPr="003507FD" w:rsidRDefault="00DD0566" w:rsidP="00DD0566">
      <w:pPr>
        <w:spacing w:after="0" w:line="276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I. DATOS INFORMATIVOS</w:t>
      </w:r>
    </w:p>
    <w:p w:rsidR="00DD0566" w:rsidRPr="003507FD" w:rsidRDefault="00DD0566" w:rsidP="00DD0566">
      <w:pPr>
        <w:numPr>
          <w:ilvl w:val="0"/>
          <w:numId w:val="1"/>
        </w:numPr>
        <w:spacing w:after="0" w:line="276" w:lineRule="auto"/>
        <w:ind w:left="0" w:firstLine="0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Nombre del caso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(Denominación oficial del proceso o de la sentencia)</w:t>
      </w:r>
    </w:p>
    <w:p w:rsidR="00DD0566" w:rsidRPr="003507FD" w:rsidRDefault="00DD0566" w:rsidP="00DD0566">
      <w:pPr>
        <w:numPr>
          <w:ilvl w:val="0"/>
          <w:numId w:val="1"/>
        </w:numPr>
        <w:spacing w:after="0" w:line="276" w:lineRule="auto"/>
        <w:ind w:left="0" w:firstLine="0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Número de sentencia o expediente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(Ej. Sentencia No. 34-21-IN/23)</w:t>
      </w:r>
    </w:p>
    <w:p w:rsidR="00DD0566" w:rsidRPr="003507FD" w:rsidRDefault="00DD0566" w:rsidP="00DD0566">
      <w:pPr>
        <w:numPr>
          <w:ilvl w:val="0"/>
          <w:numId w:val="1"/>
        </w:numPr>
        <w:spacing w:after="0" w:line="276" w:lineRule="auto"/>
        <w:ind w:left="0" w:firstLine="0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Fecha de emisión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(Día, mes, año)</w:t>
      </w:r>
    </w:p>
    <w:p w:rsidR="00DD0566" w:rsidRPr="003507FD" w:rsidRDefault="00DD0566" w:rsidP="00DD0566">
      <w:pPr>
        <w:numPr>
          <w:ilvl w:val="0"/>
          <w:numId w:val="1"/>
        </w:numPr>
        <w:spacing w:after="0" w:line="276" w:lineRule="auto"/>
        <w:ind w:left="0" w:firstLine="0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Órgano emisor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(Ej. Corte Constitucional del Ecuador)</w:t>
      </w:r>
    </w:p>
    <w:p w:rsidR="00DD0566" w:rsidRPr="003507FD" w:rsidRDefault="00DD0566" w:rsidP="00DD0566">
      <w:pPr>
        <w:numPr>
          <w:ilvl w:val="0"/>
          <w:numId w:val="1"/>
        </w:numPr>
        <w:spacing w:after="0" w:line="276" w:lineRule="auto"/>
        <w:ind w:left="0" w:firstLine="0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Norma o disposición impugnada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(Si aplica)</w:t>
      </w:r>
    </w:p>
    <w:p w:rsidR="00DD0566" w:rsidRPr="003507FD" w:rsidRDefault="00DD0566" w:rsidP="00DD0566">
      <w:pPr>
        <w:numPr>
          <w:ilvl w:val="0"/>
          <w:numId w:val="1"/>
        </w:numPr>
        <w:spacing w:after="0" w:line="276" w:lineRule="auto"/>
        <w:ind w:left="0" w:firstLine="0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Tipo de acción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(Ej. Acción de inconstitucionalidad, acción extraordinaria de protección, etc.)</w:t>
      </w:r>
    </w:p>
    <w:p w:rsidR="00DD0566" w:rsidRPr="003507FD" w:rsidRDefault="00DD0566" w:rsidP="00DD0566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</w:p>
    <w:p w:rsidR="00DD0566" w:rsidRPr="003507FD" w:rsidRDefault="00DD0566" w:rsidP="00DD0566">
      <w:pPr>
        <w:spacing w:after="0" w:line="276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II. CONTEXTO Y ANTECEDENTES DEL CASO</w:t>
      </w:r>
    </w:p>
    <w:p w:rsidR="00DD0566" w:rsidRPr="003507FD" w:rsidRDefault="00DD0566" w:rsidP="00DD056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Resumen fáctico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Exposición breve de los hechos relevantes que originaron la controversia.</w:t>
      </w:r>
    </w:p>
    <w:p w:rsidR="00DD0566" w:rsidRPr="003507FD" w:rsidRDefault="00DD0566" w:rsidP="00DD056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Problema jurídico planteado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Determinación del conflicto constitucional o pregunta jurídica esencial.</w:t>
      </w:r>
    </w:p>
    <w:p w:rsidR="00DD0566" w:rsidRPr="003507FD" w:rsidRDefault="00DD0566" w:rsidP="00DD056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Partes procesales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Identificación de los sujetos intervinientes en el proceso.</w:t>
      </w:r>
    </w:p>
    <w:p w:rsidR="00DD0566" w:rsidRPr="003507FD" w:rsidRDefault="00DD0566" w:rsidP="00DD0566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</w:p>
    <w:p w:rsidR="00DD0566" w:rsidRPr="003507FD" w:rsidRDefault="00DD0566" w:rsidP="00DD0566">
      <w:pPr>
        <w:spacing w:after="0" w:line="276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III. FUNDAMENTOS JURÍDICOS DE LA DECISIÓN</w:t>
      </w:r>
    </w:p>
    <w:p w:rsidR="00DD0566" w:rsidRPr="003507FD" w:rsidRDefault="00DD0566" w:rsidP="00DD0566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Normas constitucionales aplicadas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Enumeración y análisis de los artículos de la Constitución interpretados o aplicados.</w:t>
      </w:r>
    </w:p>
    <w:p w:rsidR="00DD0566" w:rsidRPr="003507FD" w:rsidRDefault="00DD0566" w:rsidP="00DD0566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Tratados internacionales vinculados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(Si procede, indicar los instrumentos internacionales de derechos humanos u otros pertinentes).</w:t>
      </w:r>
    </w:p>
    <w:p w:rsidR="00DD0566" w:rsidRPr="003507FD" w:rsidRDefault="00DD0566" w:rsidP="00DD0566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Precedentes constitucionales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Identificación y análisis de jurisprudencia previa que haya sido considerada o modificada.</w:t>
      </w:r>
    </w:p>
    <w:p w:rsidR="00DD0566" w:rsidRPr="003507FD" w:rsidRDefault="00DD0566" w:rsidP="00DD0566">
      <w:pPr>
        <w:spacing w:after="0" w:line="276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</w:p>
    <w:p w:rsidR="00DD0566" w:rsidRPr="003507FD" w:rsidRDefault="00DD0566" w:rsidP="00DD0566">
      <w:pPr>
        <w:spacing w:after="0" w:line="276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IV. ANÁLISIS DE LA ARGUMENTACIÓN CONSTITUCIONAL</w:t>
      </w:r>
    </w:p>
    <w:p w:rsidR="00DD0566" w:rsidRPr="003507FD" w:rsidRDefault="00DD0566" w:rsidP="00DD0566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Metodología de interpretación constitucional empleada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(Ej. interpretación sistemática, teleológica, evolutiva, conforme a la Constitución, etc.)</w:t>
      </w:r>
    </w:p>
    <w:p w:rsidR="00DD0566" w:rsidRPr="003507FD" w:rsidRDefault="00DD0566" w:rsidP="00DD0566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Principios constitucionales relevantes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(Ej. dignidad humana, igualdad, proporcionalidad, interés superior del niño, etc.)</w:t>
      </w:r>
    </w:p>
    <w:p w:rsidR="00DD0566" w:rsidRPr="003507FD" w:rsidRDefault="00DD0566" w:rsidP="00DD0566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Coherencia interna de la sentencia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Evaluación de la lógica argumentativa y el uso adecuado de fuentes normativas.</w:t>
      </w:r>
    </w:p>
    <w:p w:rsidR="00DD0566" w:rsidRPr="003507FD" w:rsidRDefault="00DD0566" w:rsidP="00DD0566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Impacto de la decisión en el ordenamiento jurídico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Identificación de los efectos normativos, derogatorios, interpretativos o exhortativos.</w:t>
      </w:r>
    </w:p>
    <w:p w:rsidR="00DD0566" w:rsidRPr="003507FD" w:rsidRDefault="00DD0566" w:rsidP="00DD0566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Disidencias y votos salvados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(Si los hay, incluir una síntesis de las opiniones divergentes.)</w:t>
      </w:r>
    </w:p>
    <w:p w:rsidR="00DD0566" w:rsidRPr="003507FD" w:rsidRDefault="00DD0566" w:rsidP="00DD0566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</w:p>
    <w:p w:rsidR="00DD0566" w:rsidRPr="003507FD" w:rsidRDefault="00DD0566" w:rsidP="00DD0566">
      <w:pPr>
        <w:spacing w:after="0" w:line="276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V. CRITERIO DE LA JUEZA (ANÁLISIS CRÍTICO PERSONAL Y OBJETIVO)</w:t>
      </w:r>
    </w:p>
    <w:p w:rsidR="00DD0566" w:rsidRPr="003507FD" w:rsidRDefault="00DD0566" w:rsidP="00DD0566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Valoración jurídica de la decisión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Reflexión sobre la solidez constitucional de la sentencia.</w:t>
      </w:r>
    </w:p>
    <w:p w:rsidR="00DD0566" w:rsidRPr="003507FD" w:rsidRDefault="00DD0566" w:rsidP="00DD0566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Aportes o debilidades identificadas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Evaluación crítica con base en el desarrollo jurisprudencial y la doctrina constitucional.</w:t>
      </w:r>
    </w:p>
    <w:p w:rsidR="00DD0566" w:rsidRPr="003507FD" w:rsidRDefault="00DD0566" w:rsidP="00DD0566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Implicaciones jurídicas y sociales</w:t>
      </w:r>
      <w:r w:rsidRPr="003507FD">
        <w:rPr>
          <w:rFonts w:ascii="Palatino Linotype" w:eastAsia="Times New Roman" w:hAnsi="Palatino Linotype" w:cs="Times New Roman"/>
          <w:sz w:val="24"/>
          <w:szCs w:val="24"/>
          <w:lang w:eastAsia="es-MX"/>
        </w:rPr>
        <w:t>: Análisis del alcance de la sentencia en términos de política pública, protección de derechos, institucionalidad democrática o sistema jurídico.</w:t>
      </w:r>
    </w:p>
    <w:p w:rsidR="00DD0566" w:rsidRPr="003507FD" w:rsidRDefault="00DD0566" w:rsidP="00DD0566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</w:p>
    <w:p w:rsidR="00DD0566" w:rsidRPr="003507FD" w:rsidRDefault="00DD0566" w:rsidP="00DD0566">
      <w:pPr>
        <w:spacing w:after="0" w:line="276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</w:pPr>
      <w:r w:rsidRPr="003507FD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VI. CONCLUSIONES</w:t>
      </w:r>
    </w:p>
    <w:p w:rsidR="00DD0566" w:rsidRPr="003507FD" w:rsidRDefault="00DD0566" w:rsidP="00DD0566">
      <w:pPr>
        <w:rPr>
          <w:rFonts w:ascii="Palatino Linotype" w:hAnsi="Palatino Linotype"/>
        </w:rPr>
      </w:pPr>
      <w:bookmarkStart w:id="0" w:name="_GoBack"/>
      <w:bookmarkEnd w:id="0"/>
    </w:p>
    <w:p w:rsidR="00DD0566" w:rsidRPr="003507FD" w:rsidRDefault="00DD0566" w:rsidP="00DD0566">
      <w:pPr>
        <w:rPr>
          <w:rFonts w:ascii="Palatino Linotype" w:hAnsi="Palatino Linotype" w:cs="Times New Roman"/>
          <w:sz w:val="24"/>
        </w:rPr>
      </w:pPr>
      <w:r w:rsidRPr="003507FD">
        <w:rPr>
          <w:rFonts w:ascii="Palatino Linotype" w:hAnsi="Palatino Linotype" w:cs="Times New Roman"/>
          <w:sz w:val="24"/>
        </w:rPr>
        <w:t xml:space="preserve">Dr. Carlos Ernesto Herrera Acosta PhD. </w:t>
      </w:r>
    </w:p>
    <w:p w:rsidR="00E31398" w:rsidRPr="00E31398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E31398" w:rsidRPr="00E31398" w:rsidRDefault="00E31398" w:rsidP="0077463F">
      <w:pPr>
        <w:shd w:val="clear" w:color="auto" w:fill="FBE4D5" w:themeFill="accent2" w:themeFillTint="33"/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ACTIVIDADES AUTÓNOMAS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E31398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Artículo académico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CE0727" w:rsidRPr="00E31398" w:rsidRDefault="00CE0727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CE0727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 xml:space="preserve">Control de lectura a través de organizadores gráficos </w:t>
      </w:r>
    </w:p>
    <w:p w:rsidR="00CE0727" w:rsidRPr="00CE0727" w:rsidRDefault="00CE0727" w:rsidP="00CE072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Century Gothic,Bold"/>
          <w:bCs/>
          <w:sz w:val="24"/>
          <w:szCs w:val="24"/>
        </w:rPr>
      </w:pPr>
      <w:r w:rsidRPr="00CE0727">
        <w:rPr>
          <w:rFonts w:ascii="Palatino Linotype" w:hAnsi="Palatino Linotype" w:cs="Century Gothic,Bold"/>
          <w:bCs/>
          <w:sz w:val="24"/>
          <w:szCs w:val="24"/>
        </w:rPr>
        <w:t xml:space="preserve">Los estudiantes presentarán cada semana </w:t>
      </w:r>
      <w:r>
        <w:rPr>
          <w:rFonts w:ascii="Palatino Linotype" w:hAnsi="Palatino Linotype" w:cs="Century Gothic,Bold"/>
          <w:bCs/>
          <w:sz w:val="24"/>
          <w:szCs w:val="24"/>
        </w:rPr>
        <w:t xml:space="preserve">(25% del libro) 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>a los coordinadores de aula los avances de</w:t>
      </w:r>
      <w:r>
        <w:rPr>
          <w:rFonts w:ascii="Palatino Linotype" w:hAnsi="Palatino Linotype" w:cs="Century Gothic,Bold"/>
          <w:bCs/>
          <w:sz w:val="24"/>
          <w:szCs w:val="24"/>
        </w:rPr>
        <w:t xml:space="preserve">l control de </w:t>
      </w:r>
      <w:r w:rsidRPr="00CE0727">
        <w:rPr>
          <w:rFonts w:ascii="Palatino Linotype" w:hAnsi="Palatino Linotype" w:cs="Century Gothic,Bold"/>
          <w:bCs/>
          <w:sz w:val="24"/>
          <w:szCs w:val="24"/>
        </w:rPr>
        <w:t xml:space="preserve">lectura a través de organizadores gráficos </w:t>
      </w:r>
    </w:p>
    <w:p w:rsidR="00E31398" w:rsidRPr="00E31398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E31398" w:rsidRPr="00E31398" w:rsidRDefault="00E31398" w:rsidP="0077463F">
      <w:pPr>
        <w:shd w:val="clear" w:color="auto" w:fill="FBE4D5" w:themeFill="accent2" w:themeFillTint="33"/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ACTIVIDADES DE RECUPERACIÓN PEDAGOGÍA</w:t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CE0727" w:rsidRDefault="00CE0727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p w:rsidR="0077463F" w:rsidRDefault="00E31398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  <w:r w:rsidRPr="00E31398">
        <w:rPr>
          <w:rFonts w:ascii="Palatino Linotype" w:hAnsi="Palatino Linotype" w:cs="Century Gothic,Bold"/>
          <w:b/>
          <w:bCs/>
          <w:sz w:val="24"/>
          <w:szCs w:val="24"/>
        </w:rPr>
        <w:t>Actividades académicas, científicas, d</w:t>
      </w:r>
      <w:r w:rsidR="0077463F">
        <w:rPr>
          <w:rFonts w:ascii="Palatino Linotype" w:hAnsi="Palatino Linotype" w:cs="Century Gothic,Bold"/>
          <w:b/>
          <w:bCs/>
          <w:sz w:val="24"/>
          <w:szCs w:val="24"/>
        </w:rPr>
        <w:t xml:space="preserve">e vinculación con la sociedad </w:t>
      </w:r>
      <w:r w:rsidR="0077463F">
        <w:rPr>
          <w:rFonts w:ascii="Palatino Linotype" w:hAnsi="Palatino Linotype" w:cs="Century Gothic,Bold"/>
          <w:b/>
          <w:bCs/>
          <w:sz w:val="24"/>
          <w:szCs w:val="24"/>
        </w:rPr>
        <w:tab/>
      </w:r>
    </w:p>
    <w:p w:rsidR="0077463F" w:rsidRDefault="0077463F" w:rsidP="00E31398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Century Gothic,Bold"/>
          <w:b/>
          <w:bCs/>
          <w:sz w:val="24"/>
          <w:szCs w:val="24"/>
        </w:rPr>
      </w:pPr>
    </w:p>
    <w:sectPr w:rsidR="00774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F03"/>
    <w:multiLevelType w:val="multilevel"/>
    <w:tmpl w:val="D520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E0C2D"/>
    <w:multiLevelType w:val="multilevel"/>
    <w:tmpl w:val="88A4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E066D"/>
    <w:multiLevelType w:val="multilevel"/>
    <w:tmpl w:val="45C0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B7512"/>
    <w:multiLevelType w:val="multilevel"/>
    <w:tmpl w:val="EFFC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A4BA0"/>
    <w:multiLevelType w:val="multilevel"/>
    <w:tmpl w:val="EFAC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98"/>
    <w:rsid w:val="001D19F0"/>
    <w:rsid w:val="00771D7D"/>
    <w:rsid w:val="0077463F"/>
    <w:rsid w:val="00CE0727"/>
    <w:rsid w:val="00DD0566"/>
    <w:rsid w:val="00E3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2E8E"/>
  <w15:chartTrackingRefBased/>
  <w15:docId w15:val="{7F962711-6497-492C-BB31-EAC40B61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2</cp:revision>
  <dcterms:created xsi:type="dcterms:W3CDTF">2025-05-28T08:17:00Z</dcterms:created>
  <dcterms:modified xsi:type="dcterms:W3CDTF">2025-05-29T08:31:00Z</dcterms:modified>
</cp:coreProperties>
</file>