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131" w:type="dxa"/>
        <w:tblLook w:val="04A0" w:firstRow="1" w:lastRow="0" w:firstColumn="1" w:lastColumn="0" w:noHBand="0" w:noVBand="1"/>
      </w:tblPr>
      <w:tblGrid>
        <w:gridCol w:w="1395"/>
        <w:gridCol w:w="1431"/>
        <w:gridCol w:w="2143"/>
        <w:gridCol w:w="868"/>
        <w:gridCol w:w="420"/>
        <w:gridCol w:w="1238"/>
        <w:gridCol w:w="1636"/>
      </w:tblGrid>
      <w:tr w:rsidR="00FB1664" w:rsidRPr="00296C91" w14:paraId="4D772648" w14:textId="77777777" w:rsidTr="00E437FF">
        <w:trPr>
          <w:trHeight w:val="628"/>
        </w:trPr>
        <w:tc>
          <w:tcPr>
            <w:tcW w:w="5837" w:type="dxa"/>
            <w:gridSpan w:val="4"/>
            <w:vMerge w:val="restart"/>
            <w:vAlign w:val="center"/>
          </w:tcPr>
          <w:p w14:paraId="2BC4003E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  <w:noProof/>
                <w:lang w:eastAsia="es-EC"/>
              </w:rPr>
              <w:drawing>
                <wp:anchor distT="0" distB="0" distL="114300" distR="114300" simplePos="0" relativeHeight="251662336" behindDoc="0" locked="0" layoutInCell="1" allowOverlap="1" wp14:anchorId="58E5EE48" wp14:editId="07F31401">
                  <wp:simplePos x="1076325" y="1247775"/>
                  <wp:positionH relativeFrom="margin">
                    <wp:posOffset>1270</wp:posOffset>
                  </wp:positionH>
                  <wp:positionV relativeFrom="margin">
                    <wp:posOffset>85725</wp:posOffset>
                  </wp:positionV>
                  <wp:extent cx="904875" cy="647700"/>
                  <wp:effectExtent l="0" t="0" r="9525" b="0"/>
                  <wp:wrapSquare wrapText="bothSides"/>
                  <wp:docPr id="1" name="Imagen 1" descr="Resultado de imagen para UNIVERSIDAD NACIONAL DE CHIMBORA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UNIVERSIDAD NACIONAL DE CHIMBORA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6C91">
              <w:rPr>
                <w:b/>
              </w:rPr>
              <w:t>UNIVERSIDAD NACIONAL DE CHIMBORAZO</w:t>
            </w:r>
          </w:p>
          <w:p w14:paraId="194A05A5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FACULTAD DE INGENIERÍA</w:t>
            </w:r>
          </w:p>
          <w:p w14:paraId="47C74A7B" w14:textId="77777777" w:rsidR="00FB1664" w:rsidRPr="00296C91" w:rsidRDefault="00FB1664" w:rsidP="00296C91">
            <w:pPr>
              <w:rPr>
                <w:b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43812BB9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VERSIÓN:            1</w:t>
            </w:r>
          </w:p>
        </w:tc>
      </w:tr>
      <w:tr w:rsidR="00FB1664" w:rsidRPr="00296C91" w14:paraId="42B16600" w14:textId="77777777" w:rsidTr="00E437FF">
        <w:trPr>
          <w:trHeight w:val="334"/>
        </w:trPr>
        <w:tc>
          <w:tcPr>
            <w:tcW w:w="5837" w:type="dxa"/>
            <w:gridSpan w:val="4"/>
            <w:vMerge/>
            <w:vAlign w:val="center"/>
          </w:tcPr>
          <w:p w14:paraId="6F047C55" w14:textId="77777777" w:rsidR="00FB1664" w:rsidRPr="00296C91" w:rsidRDefault="00FB1664" w:rsidP="00296C91">
            <w:pPr>
              <w:rPr>
                <w:b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1A22C377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CÓDIGO:</w:t>
            </w:r>
          </w:p>
        </w:tc>
      </w:tr>
      <w:tr w:rsidR="00FB1664" w:rsidRPr="00296C91" w14:paraId="29A2D32B" w14:textId="77777777" w:rsidTr="00E437FF">
        <w:trPr>
          <w:trHeight w:val="334"/>
        </w:trPr>
        <w:tc>
          <w:tcPr>
            <w:tcW w:w="5837" w:type="dxa"/>
            <w:gridSpan w:val="4"/>
            <w:vMerge/>
            <w:vAlign w:val="center"/>
          </w:tcPr>
          <w:p w14:paraId="2AA2E990" w14:textId="77777777" w:rsidR="00FB1664" w:rsidRPr="00296C91" w:rsidRDefault="00FB1664" w:rsidP="00296C91">
            <w:pPr>
              <w:rPr>
                <w:b/>
              </w:rPr>
            </w:pPr>
          </w:p>
        </w:tc>
        <w:tc>
          <w:tcPr>
            <w:tcW w:w="3293" w:type="dxa"/>
            <w:gridSpan w:val="3"/>
            <w:vAlign w:val="center"/>
          </w:tcPr>
          <w:p w14:paraId="46E711CD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PÁGINAS:</w:t>
            </w:r>
            <w:r w:rsidR="0023699D">
              <w:rPr>
                <w:b/>
              </w:rPr>
              <w:t xml:space="preserve"> 5</w:t>
            </w:r>
          </w:p>
        </w:tc>
      </w:tr>
      <w:tr w:rsidR="00FB1664" w:rsidRPr="00296C91" w14:paraId="24C07DE6" w14:textId="77777777" w:rsidTr="00E437FF">
        <w:trPr>
          <w:trHeight w:val="1254"/>
        </w:trPr>
        <w:tc>
          <w:tcPr>
            <w:tcW w:w="9130" w:type="dxa"/>
            <w:gridSpan w:val="7"/>
            <w:vAlign w:val="center"/>
          </w:tcPr>
          <w:p w14:paraId="668BEF76" w14:textId="77777777" w:rsidR="00FB1664" w:rsidRPr="00296C91" w:rsidRDefault="00FB1664" w:rsidP="00296C91">
            <w:pPr>
              <w:jc w:val="center"/>
              <w:rPr>
                <w:b/>
              </w:rPr>
            </w:pPr>
            <w:r w:rsidRPr="00296C91">
              <w:rPr>
                <w:b/>
              </w:rPr>
              <w:t>GUÍA DE PRACTICAS</w:t>
            </w:r>
          </w:p>
          <w:p w14:paraId="216E6FB7" w14:textId="01A0AA00" w:rsidR="00FB1664" w:rsidRPr="00296C91" w:rsidRDefault="006047EF" w:rsidP="00D52992">
            <w:pPr>
              <w:jc w:val="center"/>
              <w:rPr>
                <w:b/>
              </w:rPr>
            </w:pPr>
            <w:r>
              <w:rPr>
                <w:b/>
              </w:rPr>
              <w:t>PERIODO ACADÉMICO MAYO-OCTUBRE 2020</w:t>
            </w:r>
          </w:p>
        </w:tc>
      </w:tr>
      <w:tr w:rsidR="00FB1664" w:rsidRPr="00296C91" w14:paraId="288D8F98" w14:textId="77777777" w:rsidTr="00E437FF">
        <w:trPr>
          <w:trHeight w:val="557"/>
        </w:trPr>
        <w:tc>
          <w:tcPr>
            <w:tcW w:w="2826" w:type="dxa"/>
            <w:gridSpan w:val="2"/>
            <w:vAlign w:val="center"/>
          </w:tcPr>
          <w:p w14:paraId="07AA9FCC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CARRERA:</w:t>
            </w:r>
            <w:r w:rsidR="00B41ED6">
              <w:rPr>
                <w:b/>
              </w:rPr>
              <w:t xml:space="preserve"> Ingeniería Agroindustrial</w:t>
            </w:r>
          </w:p>
        </w:tc>
        <w:tc>
          <w:tcPr>
            <w:tcW w:w="3431" w:type="dxa"/>
            <w:gridSpan w:val="3"/>
            <w:vAlign w:val="center"/>
          </w:tcPr>
          <w:p w14:paraId="37C11446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DOCENTE:</w:t>
            </w:r>
            <w:r w:rsidR="00B41ED6">
              <w:rPr>
                <w:b/>
              </w:rPr>
              <w:t xml:space="preserve"> Davinia Sánchez Macías</w:t>
            </w:r>
          </w:p>
        </w:tc>
        <w:tc>
          <w:tcPr>
            <w:tcW w:w="2874" w:type="dxa"/>
            <w:gridSpan w:val="2"/>
            <w:vAlign w:val="center"/>
          </w:tcPr>
          <w:p w14:paraId="05339FFE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CURSO:</w:t>
            </w:r>
            <w:r w:rsidR="00B41ED6">
              <w:rPr>
                <w:b/>
              </w:rPr>
              <w:t xml:space="preserve"> Cuarto semestre</w:t>
            </w:r>
          </w:p>
        </w:tc>
      </w:tr>
      <w:tr w:rsidR="00FB1664" w:rsidRPr="00296C91" w14:paraId="7339D6FD" w14:textId="77777777" w:rsidTr="00E437FF">
        <w:trPr>
          <w:trHeight w:val="1254"/>
        </w:trPr>
        <w:tc>
          <w:tcPr>
            <w:tcW w:w="2826" w:type="dxa"/>
            <w:gridSpan w:val="2"/>
            <w:vAlign w:val="center"/>
          </w:tcPr>
          <w:p w14:paraId="59CA7629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NOMBRE DE LA ASIGNATURA:</w:t>
            </w:r>
            <w:r w:rsidR="00B41ED6">
              <w:rPr>
                <w:b/>
              </w:rPr>
              <w:t xml:space="preserve"> Materia Prima Animal</w:t>
            </w:r>
          </w:p>
        </w:tc>
        <w:tc>
          <w:tcPr>
            <w:tcW w:w="3431" w:type="dxa"/>
            <w:gridSpan w:val="3"/>
            <w:vAlign w:val="center"/>
          </w:tcPr>
          <w:p w14:paraId="4723E8B9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CÓDIGO DE LA ASIGNATURA:</w:t>
            </w:r>
            <w:r w:rsidR="0023699D">
              <w:rPr>
                <w:b/>
              </w:rPr>
              <w:t xml:space="preserve"> </w:t>
            </w:r>
            <w:r w:rsidR="0023699D">
              <w:rPr>
                <w:rFonts w:ascii="Arial" w:eastAsia="Arial" w:hAnsi="Arial"/>
                <w:color w:val="000000"/>
                <w:sz w:val="18"/>
              </w:rPr>
              <w:t>EAG427</w:t>
            </w:r>
          </w:p>
        </w:tc>
        <w:tc>
          <w:tcPr>
            <w:tcW w:w="2874" w:type="dxa"/>
            <w:gridSpan w:val="2"/>
            <w:vAlign w:val="center"/>
          </w:tcPr>
          <w:p w14:paraId="47A3D547" w14:textId="77777777" w:rsidR="00FB1664" w:rsidRPr="00296C91" w:rsidRDefault="00FB1664" w:rsidP="00296C91">
            <w:pPr>
              <w:rPr>
                <w:b/>
              </w:rPr>
            </w:pPr>
            <w:proofErr w:type="gramStart"/>
            <w:r w:rsidRPr="00296C91">
              <w:rPr>
                <w:b/>
              </w:rPr>
              <w:t>LABORATORIO A UTILIZAR</w:t>
            </w:r>
            <w:proofErr w:type="gramEnd"/>
            <w:r w:rsidRPr="00296C91">
              <w:rPr>
                <w:b/>
              </w:rPr>
              <w:t>:</w:t>
            </w:r>
            <w:r w:rsidR="00B41ED6">
              <w:rPr>
                <w:b/>
              </w:rPr>
              <w:t xml:space="preserve"> </w:t>
            </w:r>
            <w:r w:rsidR="007C7237">
              <w:rPr>
                <w:b/>
              </w:rPr>
              <w:t>Laboratorio de procesos agroindustriales</w:t>
            </w:r>
          </w:p>
        </w:tc>
      </w:tr>
      <w:tr w:rsidR="00296C91" w:rsidRPr="00296C91" w14:paraId="2942D650" w14:textId="77777777" w:rsidTr="00E437FF">
        <w:trPr>
          <w:trHeight w:val="1219"/>
        </w:trPr>
        <w:tc>
          <w:tcPr>
            <w:tcW w:w="1395" w:type="dxa"/>
            <w:vAlign w:val="center"/>
          </w:tcPr>
          <w:p w14:paraId="0CF98BB8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Práctica N°:</w:t>
            </w:r>
            <w:r w:rsidR="00B41ED6">
              <w:rPr>
                <w:b/>
              </w:rPr>
              <w:t xml:space="preserve"> </w:t>
            </w:r>
            <w:r w:rsidR="002A7BF0">
              <w:rPr>
                <w:b/>
              </w:rPr>
              <w:t>3</w:t>
            </w:r>
          </w:p>
        </w:tc>
        <w:tc>
          <w:tcPr>
            <w:tcW w:w="3574" w:type="dxa"/>
            <w:gridSpan w:val="2"/>
            <w:vAlign w:val="center"/>
          </w:tcPr>
          <w:p w14:paraId="5C71C338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Tema:</w:t>
            </w:r>
            <w:r w:rsidR="00BF66BB">
              <w:rPr>
                <w:b/>
              </w:rPr>
              <w:t xml:space="preserve"> </w:t>
            </w:r>
            <w:r w:rsidR="00BF66BB" w:rsidRPr="00A534EF">
              <w:rPr>
                <w:rFonts w:cs="Times New Roman"/>
                <w:b/>
                <w:szCs w:val="24"/>
              </w:rPr>
              <w:t>Calidad de la leche</w:t>
            </w:r>
            <w:r w:rsidR="00BF66BB">
              <w:rPr>
                <w:rFonts w:cs="Times New Roman"/>
                <w:b/>
                <w:szCs w:val="24"/>
              </w:rPr>
              <w:t xml:space="preserve"> como materia prima fraudulenta.</w:t>
            </w:r>
          </w:p>
        </w:tc>
        <w:tc>
          <w:tcPr>
            <w:tcW w:w="1287" w:type="dxa"/>
            <w:gridSpan w:val="2"/>
            <w:vAlign w:val="center"/>
          </w:tcPr>
          <w:p w14:paraId="135B3016" w14:textId="77777777" w:rsidR="00FB1664" w:rsidRPr="00296C91" w:rsidRDefault="00296C91" w:rsidP="00296C91">
            <w:pPr>
              <w:rPr>
                <w:b/>
              </w:rPr>
            </w:pPr>
            <w:r>
              <w:rPr>
                <w:b/>
              </w:rPr>
              <w:t>Duración (</w:t>
            </w:r>
            <w:r w:rsidR="00FB1664" w:rsidRPr="00296C91">
              <w:rPr>
                <w:b/>
              </w:rPr>
              <w:t>horas</w:t>
            </w:r>
            <w:r>
              <w:rPr>
                <w:b/>
              </w:rPr>
              <w:t>)</w:t>
            </w:r>
            <w:r w:rsidR="00FB1664" w:rsidRPr="00296C91">
              <w:rPr>
                <w:b/>
              </w:rPr>
              <w:t>:</w:t>
            </w:r>
            <w:r w:rsidR="00BF66BB">
              <w:rPr>
                <w:b/>
              </w:rPr>
              <w:t xml:space="preserve"> 2</w:t>
            </w:r>
          </w:p>
        </w:tc>
        <w:tc>
          <w:tcPr>
            <w:tcW w:w="1238" w:type="dxa"/>
            <w:vAlign w:val="center"/>
          </w:tcPr>
          <w:p w14:paraId="2C506F52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N° Grupos</w:t>
            </w:r>
            <w:r w:rsidR="00BF66BB">
              <w:rPr>
                <w:b/>
              </w:rPr>
              <w:t>: 1</w:t>
            </w:r>
          </w:p>
        </w:tc>
        <w:tc>
          <w:tcPr>
            <w:tcW w:w="1636" w:type="dxa"/>
            <w:vAlign w:val="center"/>
          </w:tcPr>
          <w:p w14:paraId="24CB6087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N° estudiantes (por Grupo)</w:t>
            </w:r>
            <w:r w:rsidR="00BF66BB">
              <w:rPr>
                <w:b/>
              </w:rPr>
              <w:t>: 2</w:t>
            </w:r>
            <w:r w:rsidR="007C7237">
              <w:rPr>
                <w:b/>
              </w:rPr>
              <w:t>2</w:t>
            </w:r>
          </w:p>
        </w:tc>
      </w:tr>
      <w:tr w:rsidR="00FB1664" w:rsidRPr="00296C91" w14:paraId="76B6D576" w14:textId="77777777" w:rsidTr="00E437FF">
        <w:trPr>
          <w:trHeight w:val="593"/>
        </w:trPr>
        <w:tc>
          <w:tcPr>
            <w:tcW w:w="9130" w:type="dxa"/>
            <w:gridSpan w:val="7"/>
            <w:vAlign w:val="center"/>
          </w:tcPr>
          <w:p w14:paraId="0424888B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Objetivo de la Práctica:</w:t>
            </w:r>
          </w:p>
          <w:p w14:paraId="0896E8EF" w14:textId="77777777" w:rsidR="00FB1664" w:rsidRDefault="00BF66BB" w:rsidP="00296C9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Analizar los diferentes métodos y técnicas para medir de forma rutinaria la calidad de la leche como materia prima que puede sufrir adulteraciones o fraude. </w:t>
            </w:r>
          </w:p>
          <w:p w14:paraId="2072C14A" w14:textId="77777777" w:rsidR="00BF66BB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D6DEAA7" w14:textId="77777777" w:rsidR="00BF66BB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Objetivos específicos: </w:t>
            </w:r>
          </w:p>
          <w:p w14:paraId="2CD00068" w14:textId="77777777" w:rsidR="00BF66BB" w:rsidRDefault="00BF66BB" w:rsidP="00BF66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Conocer los diferentes métodos y procedimientos para medir la calidad de la leche fraudulenta. </w:t>
            </w:r>
          </w:p>
          <w:p w14:paraId="42AC5373" w14:textId="77777777" w:rsidR="00BF66BB" w:rsidRDefault="00BF66BB" w:rsidP="00BF66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Analizar la calidad tecnológica de la leche, como estabilidad en etanol, capacidad tampón, acidez, pH y color instrumental.   </w:t>
            </w:r>
          </w:p>
          <w:p w14:paraId="680A290F" w14:textId="77777777" w:rsidR="00BF66BB" w:rsidRPr="00BF66BB" w:rsidRDefault="00BF66BB" w:rsidP="00296C9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Determinar el tipo de fraude sufrido. </w:t>
            </w:r>
          </w:p>
          <w:p w14:paraId="68D60CD2" w14:textId="77777777" w:rsidR="00FB1664" w:rsidRPr="00296C91" w:rsidRDefault="00FB1664" w:rsidP="00296C91">
            <w:pPr>
              <w:rPr>
                <w:b/>
              </w:rPr>
            </w:pPr>
          </w:p>
        </w:tc>
      </w:tr>
      <w:tr w:rsidR="00FB1664" w:rsidRPr="00296C91" w14:paraId="35EDB59A" w14:textId="77777777" w:rsidTr="00E437FF">
        <w:trPr>
          <w:trHeight w:val="557"/>
        </w:trPr>
        <w:tc>
          <w:tcPr>
            <w:tcW w:w="9130" w:type="dxa"/>
            <w:gridSpan w:val="7"/>
            <w:vAlign w:val="center"/>
          </w:tcPr>
          <w:p w14:paraId="5F2815C3" w14:textId="77777777" w:rsidR="00FB1664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Equipos, Materiales e Insumos:</w:t>
            </w:r>
          </w:p>
          <w:p w14:paraId="1FD7CA76" w14:textId="77777777" w:rsidR="00BF66BB" w:rsidRPr="0023699D" w:rsidRDefault="00BF66BB" w:rsidP="00296C91">
            <w:r w:rsidRPr="0023699D">
              <w:t>- Bureta de 25 ml</w:t>
            </w:r>
          </w:p>
          <w:p w14:paraId="347EC492" w14:textId="77777777" w:rsidR="00BF66BB" w:rsidRPr="0023699D" w:rsidRDefault="00BF66BB" w:rsidP="00296C91">
            <w:r w:rsidRPr="0023699D">
              <w:t>- Vaso de precipitación de 100 y 250 ml</w:t>
            </w:r>
          </w:p>
          <w:p w14:paraId="7E47D540" w14:textId="77777777" w:rsidR="00BF66BB" w:rsidRPr="0023699D" w:rsidRDefault="00BF66BB" w:rsidP="00296C91">
            <w:r w:rsidRPr="0023699D">
              <w:t>- Pipetas de 5 y 10 ml</w:t>
            </w:r>
          </w:p>
          <w:p w14:paraId="24CCEBA4" w14:textId="77777777" w:rsidR="0023699D" w:rsidRPr="0023699D" w:rsidRDefault="0023699D" w:rsidP="00296C91">
            <w:r w:rsidRPr="0023699D">
              <w:t>- Pera de succión</w:t>
            </w:r>
          </w:p>
          <w:p w14:paraId="6478C1ED" w14:textId="77777777" w:rsidR="0023699D" w:rsidRPr="0023699D" w:rsidRDefault="0023699D" w:rsidP="00296C91">
            <w:r w:rsidRPr="0023699D">
              <w:t>- Tubos de ensayo</w:t>
            </w:r>
          </w:p>
          <w:p w14:paraId="07B488A7" w14:textId="77777777" w:rsidR="0023699D" w:rsidRPr="0023699D" w:rsidRDefault="0023699D" w:rsidP="00296C91">
            <w:r w:rsidRPr="0023699D">
              <w:t>- Probeta</w:t>
            </w:r>
          </w:p>
          <w:p w14:paraId="33EB2332" w14:textId="77777777" w:rsidR="0023699D" w:rsidRPr="0023699D" w:rsidRDefault="0023699D" w:rsidP="00296C91">
            <w:r w:rsidRPr="0023699D">
              <w:t>- Lactodensímetro</w:t>
            </w:r>
          </w:p>
          <w:p w14:paraId="5EB1F54D" w14:textId="77777777" w:rsidR="0023699D" w:rsidRPr="0023699D" w:rsidRDefault="0023699D" w:rsidP="00296C91">
            <w:r w:rsidRPr="0023699D">
              <w:t xml:space="preserve">- </w:t>
            </w:r>
            <w:proofErr w:type="spellStart"/>
            <w:r w:rsidRPr="0023699D">
              <w:t>pHmetro</w:t>
            </w:r>
            <w:proofErr w:type="spellEnd"/>
          </w:p>
          <w:p w14:paraId="6C1C7764" w14:textId="77777777" w:rsidR="0023699D" w:rsidRPr="0023699D" w:rsidRDefault="0023699D" w:rsidP="00296C91">
            <w:r w:rsidRPr="0023699D">
              <w:t>- Colorímetro</w:t>
            </w:r>
          </w:p>
          <w:p w14:paraId="1B1D312A" w14:textId="77777777" w:rsidR="0023699D" w:rsidRPr="0023699D" w:rsidRDefault="0023699D" w:rsidP="00296C91">
            <w:r w:rsidRPr="0023699D">
              <w:t>- Leche</w:t>
            </w:r>
          </w:p>
          <w:p w14:paraId="49F3D938" w14:textId="77777777" w:rsidR="0023699D" w:rsidRPr="0023699D" w:rsidRDefault="0023699D" w:rsidP="00296C91">
            <w:r w:rsidRPr="0023699D">
              <w:t>- Hidróxido de sodi</w:t>
            </w:r>
            <w:r w:rsidR="00E437FF">
              <w:t>o</w:t>
            </w:r>
            <w:r w:rsidRPr="0023699D">
              <w:t xml:space="preserve"> a 1,1 N</w:t>
            </w:r>
          </w:p>
          <w:p w14:paraId="2AE125B1" w14:textId="77777777" w:rsidR="0023699D" w:rsidRPr="0023699D" w:rsidRDefault="0023699D" w:rsidP="00296C91">
            <w:r w:rsidRPr="0023699D">
              <w:t>- Fenolftaleína</w:t>
            </w:r>
          </w:p>
          <w:p w14:paraId="1A6FC3CE" w14:textId="77777777" w:rsidR="0023699D" w:rsidRPr="0023699D" w:rsidRDefault="0023699D" w:rsidP="00296C91">
            <w:r w:rsidRPr="0023699D">
              <w:t>- Agua destilada</w:t>
            </w:r>
          </w:p>
          <w:p w14:paraId="4CB77AC5" w14:textId="77777777" w:rsidR="00FB1664" w:rsidRPr="0023699D" w:rsidRDefault="0023699D" w:rsidP="00296C91">
            <w:r w:rsidRPr="0023699D">
              <w:t>- Alcohol al 70%</w:t>
            </w:r>
          </w:p>
        </w:tc>
      </w:tr>
      <w:tr w:rsidR="00FB1664" w:rsidRPr="00296C91" w14:paraId="575C9EFD" w14:textId="77777777" w:rsidTr="00E437FF">
        <w:trPr>
          <w:trHeight w:val="662"/>
        </w:trPr>
        <w:tc>
          <w:tcPr>
            <w:tcW w:w="9130" w:type="dxa"/>
            <w:gridSpan w:val="7"/>
            <w:vAlign w:val="center"/>
          </w:tcPr>
          <w:p w14:paraId="7B5CAD35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lastRenderedPageBreak/>
              <w:t>Procedimiento:</w:t>
            </w:r>
          </w:p>
          <w:p w14:paraId="2D6DC969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Se entregará a cada grupo de 3 integrantes una muestra de leche enumerada, de la cual no saben su naturaleza. Deberán realizar las pruebas laboratoriales que se marcan, describir y dar una explicación coherente a los resultados obtenidos. Especular sobre la naturaleza de la misma. Rellenar toda la información que se pide. </w:t>
            </w:r>
          </w:p>
          <w:p w14:paraId="67D47E0F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Nº de muestra: __________________</w:t>
            </w:r>
          </w:p>
          <w:p w14:paraId="5DF4F923" w14:textId="77777777" w:rsidR="00BF66BB" w:rsidRDefault="00BF66BB" w:rsidP="00BF66BB">
            <w:pPr>
              <w:rPr>
                <w:rFonts w:cs="Times New Roman"/>
                <w:b/>
                <w:szCs w:val="24"/>
              </w:rPr>
            </w:pPr>
          </w:p>
          <w:p w14:paraId="1A069EF1" w14:textId="77777777" w:rsidR="00BF66BB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  <w:r w:rsidRPr="002A6741">
              <w:rPr>
                <w:rFonts w:cs="Times New Roman"/>
                <w:b/>
                <w:szCs w:val="24"/>
              </w:rPr>
              <w:t>Composición de la leche</w:t>
            </w:r>
            <w:r>
              <w:rPr>
                <w:rFonts w:cs="Times New Roman"/>
                <w:b/>
                <w:szCs w:val="24"/>
              </w:rPr>
              <w:t xml:space="preserve"> (no se realizará esta prueba de momento)</w:t>
            </w:r>
            <w:r w:rsidRPr="002A6741">
              <w:rPr>
                <w:rFonts w:cs="Times New Roman"/>
                <w:b/>
                <w:szCs w:val="24"/>
              </w:rPr>
              <w:t xml:space="preserve">. </w:t>
            </w:r>
          </w:p>
          <w:p w14:paraId="0B0C3442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Existen muchos equipos en el mundo capaces de medir la composición completa de la leche, que nos dan el porcentaje de grasa, proteína, lactosa, sólidos totales, e incluso sólidos no grasos (que no es más que sólidos totales menos la grasa). </w:t>
            </w:r>
          </w:p>
          <w:p w14:paraId="6E3D7DFF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Sin embargo, existen muchas normas para medir estos parámetros de forma individual. Por ejemplo, para medir la grasa, están los métodos Gerber y Babcock, que usan el sulfúrico y separan todos los componentes de la leche, pudiendo medirse la cantidad de grasa; para la proteína está el método </w:t>
            </w:r>
            <w:r w:rsidRPr="002A6741">
              <w:rPr>
                <w:rFonts w:cs="Times New Roman"/>
                <w:szCs w:val="24"/>
              </w:rPr>
              <w:t>Kjeldahl</w:t>
            </w:r>
            <w:r>
              <w:rPr>
                <w:rFonts w:cs="Times New Roman"/>
                <w:szCs w:val="24"/>
              </w:rPr>
              <w:t xml:space="preserve">, que mide el contenido de nitrógeno, y el test Bradford, que es una medida colorimétrica; para los sólidos totales y cenizas, se usan métodos gravimétricos tras poner la muestra a alta temperatura y dejar evaporar toda la humedad. </w:t>
            </w:r>
          </w:p>
          <w:p w14:paraId="48179E6A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El equipo </w:t>
            </w:r>
            <w:proofErr w:type="spellStart"/>
            <w:r>
              <w:rPr>
                <w:rFonts w:cs="Times New Roman"/>
                <w:szCs w:val="24"/>
              </w:rPr>
              <w:t>Ekomilk</w:t>
            </w:r>
            <w:proofErr w:type="spellEnd"/>
            <w:r>
              <w:rPr>
                <w:rFonts w:cs="Times New Roman"/>
                <w:szCs w:val="24"/>
              </w:rPr>
              <w:t xml:space="preserve">, que se encuentra en nuestro laboratorio, </w:t>
            </w:r>
            <w:r w:rsidR="00E437FF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 xml:space="preserve">erá el que usaremos en nuestra práctica. Es un analizador de leche que mide gran cantidad de parámetros. </w:t>
            </w:r>
          </w:p>
          <w:p w14:paraId="4D252F3C" w14:textId="77777777" w:rsidR="00BF66BB" w:rsidRDefault="00BF66BB" w:rsidP="00BF66BB">
            <w:pPr>
              <w:jc w:val="both"/>
            </w:pPr>
            <w:r>
              <w:t>Funcionamiento: El analizador de leche EKOMILK succiona una pequeña muestra de leche y la somete al paso de una onda de ultrasonido. Un microprocesador traduce los resultados midiendo los siguientes parámetros: materia grasa, sólidos no grasos, proteína, densidad, punto de congelamiento y agua agregada.</w:t>
            </w:r>
          </w:p>
          <w:p w14:paraId="2691EBC3" w14:textId="77777777" w:rsidR="00E437FF" w:rsidRDefault="00E437FF" w:rsidP="00BF66BB">
            <w:pPr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2551"/>
            </w:tblGrid>
            <w:tr w:rsidR="00E437FF" w14:paraId="5027DBD3" w14:textId="77777777" w:rsidTr="00E437FF">
              <w:tc>
                <w:tcPr>
                  <w:tcW w:w="2547" w:type="dxa"/>
                </w:tcPr>
                <w:p w14:paraId="470E5EF2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Parámetro</w:t>
                  </w:r>
                </w:p>
              </w:tc>
              <w:tc>
                <w:tcPr>
                  <w:tcW w:w="2551" w:type="dxa"/>
                </w:tcPr>
                <w:p w14:paraId="0D5D5238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Valor y unidades</w:t>
                  </w:r>
                </w:p>
              </w:tc>
            </w:tr>
            <w:tr w:rsidR="00E437FF" w14:paraId="7F9DA47A" w14:textId="77777777" w:rsidTr="00E437FF">
              <w:tc>
                <w:tcPr>
                  <w:tcW w:w="2547" w:type="dxa"/>
                </w:tcPr>
                <w:p w14:paraId="2429114F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5689CD81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E437FF" w14:paraId="1AD38945" w14:textId="77777777" w:rsidTr="00E437FF">
              <w:tc>
                <w:tcPr>
                  <w:tcW w:w="2547" w:type="dxa"/>
                </w:tcPr>
                <w:p w14:paraId="5DBBDB9F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0AE553FB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E437FF" w14:paraId="2523398E" w14:textId="77777777" w:rsidTr="00E437FF">
              <w:tc>
                <w:tcPr>
                  <w:tcW w:w="2547" w:type="dxa"/>
                </w:tcPr>
                <w:p w14:paraId="4045E1AD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53EF79DF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E437FF" w14:paraId="6E8C6C0B" w14:textId="77777777" w:rsidTr="00E437FF">
              <w:tc>
                <w:tcPr>
                  <w:tcW w:w="2547" w:type="dxa"/>
                </w:tcPr>
                <w:p w14:paraId="5363B262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32BF437A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E437FF" w14:paraId="4536ADCA" w14:textId="77777777" w:rsidTr="00E437FF">
              <w:tc>
                <w:tcPr>
                  <w:tcW w:w="2547" w:type="dxa"/>
                </w:tcPr>
                <w:p w14:paraId="1C19E233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28079047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E437FF" w14:paraId="1BBAA997" w14:textId="77777777" w:rsidTr="00E437FF">
              <w:tc>
                <w:tcPr>
                  <w:tcW w:w="2547" w:type="dxa"/>
                </w:tcPr>
                <w:p w14:paraId="5DB5E87C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26A4CF8A" w14:textId="77777777" w:rsidR="00E437FF" w:rsidRDefault="00E437FF" w:rsidP="00BF66BB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6308D221" w14:textId="77777777" w:rsidR="00E437FF" w:rsidRDefault="00E437FF" w:rsidP="00BF66BB">
            <w:pPr>
              <w:jc w:val="both"/>
              <w:rPr>
                <w:rFonts w:cs="Times New Roman"/>
                <w:szCs w:val="24"/>
              </w:rPr>
            </w:pPr>
          </w:p>
          <w:p w14:paraId="647238BE" w14:textId="77777777" w:rsidR="00BF66BB" w:rsidRPr="00850DF8" w:rsidRDefault="00BF66BB" w:rsidP="00BF66BB">
            <w:pPr>
              <w:jc w:val="both"/>
              <w:rPr>
                <w:b/>
              </w:rPr>
            </w:pPr>
            <w:r w:rsidRPr="00850DF8">
              <w:rPr>
                <w:b/>
              </w:rPr>
              <w:t>Densidad</w:t>
            </w:r>
          </w:p>
          <w:p w14:paraId="0CF7BB6D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El valor de la densidad de la leche es un parámetro que sirve para generar una inspección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preliminar de la leche en referencia a la normalidad, adulteración o alteración de la leche, sin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embargo cualquier duda generada de este procedimiento se debe complementar con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evaluaciones adicionales de calidad que permitan decantar cualquier sospecha.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Generalmente la densidad de la leche debe oscilar entre 1028 y 1033 kilogramos por metro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cúbico, valores por debajo de los establecidos son indicios de adición de a</w:t>
            </w:r>
            <w:r>
              <w:rPr>
                <w:rFonts w:cs="Times New Roman"/>
                <w:szCs w:val="24"/>
              </w:rPr>
              <w:t>gua, adición de grasas vegetales… A</w:t>
            </w:r>
            <w:r w:rsidRPr="00A534EF">
              <w:rPr>
                <w:rFonts w:cs="Times New Roman"/>
                <w:szCs w:val="24"/>
              </w:rPr>
              <w:t>unque pueden ser ocasionados por leches de bajo contenido de sólidos,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 xml:space="preserve">generalmente asociados a </w:t>
            </w:r>
            <w:r>
              <w:rPr>
                <w:rFonts w:cs="Times New Roman"/>
                <w:szCs w:val="24"/>
              </w:rPr>
              <w:t>una mala nutrición del animal. T</w:t>
            </w:r>
            <w:r w:rsidRPr="00A534EF">
              <w:rPr>
                <w:rFonts w:cs="Times New Roman"/>
                <w:szCs w:val="24"/>
              </w:rPr>
              <w:t>ambién se pueden presentar valores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bajos en la densidad por una alta concentración de grasa en la leche.</w:t>
            </w:r>
          </w:p>
          <w:p w14:paraId="16DDF561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Una densidad muy alta en leche puede ser resultado de una leche que ha sido descremada o adulterada con féculas como almidón, o suero de quesería. </w:t>
            </w:r>
          </w:p>
          <w:p w14:paraId="5C1B473B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Para esta prueba, se usará un lactodensímetro, el cual nos dará una información directa sobre la densidad de la leche. </w:t>
            </w:r>
          </w:p>
          <w:p w14:paraId="1D8876BB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Densidad de la muestra: _______________________</w:t>
            </w:r>
          </w:p>
          <w:p w14:paraId="173FA4AD" w14:textId="77777777" w:rsidR="00BF66BB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F9D31EC" w14:textId="77777777" w:rsidR="00BF66BB" w:rsidRPr="00256BE1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  <w:r w:rsidRPr="00256BE1">
              <w:rPr>
                <w:rFonts w:cs="Times New Roman"/>
                <w:b/>
                <w:szCs w:val="24"/>
              </w:rPr>
              <w:lastRenderedPageBreak/>
              <w:t>Acidez cualitativa</w:t>
            </w:r>
          </w:p>
          <w:p w14:paraId="4C9129F6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Esta prueba b</w:t>
            </w:r>
            <w:r>
              <w:rPr>
                <w:rFonts w:cs="Times New Roman"/>
                <w:szCs w:val="24"/>
              </w:rPr>
              <w:t>usca determinar si la leche está</w:t>
            </w:r>
            <w:r w:rsidRPr="00A534EF">
              <w:rPr>
                <w:rFonts w:cs="Times New Roman"/>
                <w:szCs w:val="24"/>
              </w:rPr>
              <w:t xml:space="preserve"> o no con problemas de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acidez de manera cualitativa sin indicar el grado de ac</w:t>
            </w:r>
            <w:r>
              <w:rPr>
                <w:rFonts w:cs="Times New Roman"/>
                <w:szCs w:val="24"/>
              </w:rPr>
              <w:t xml:space="preserve">idez en términos cuantitativos. </w:t>
            </w:r>
            <w:r w:rsidRPr="00A534EF">
              <w:rPr>
                <w:rFonts w:cs="Times New Roman"/>
                <w:szCs w:val="24"/>
              </w:rPr>
              <w:t>El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procedimiento consiste en mezclar rápidamente dos volúmenes iguales de leche y una solución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de alcohol etílico en agua, neutra (pH = 7) y con un 68% en peso de alcohol o un 75% en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volumen de alcohol etílico. Se sugiere mezclar la leche y el alcohol rápidamente (tiempo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aproximado de 2 segundos) en un recipiente inerte y neutro y observar la</w:t>
            </w:r>
            <w:r>
              <w:rPr>
                <w:rFonts w:cs="Times New Roman"/>
                <w:szCs w:val="24"/>
              </w:rPr>
              <w:t xml:space="preserve"> presencia de grumos. Los grumos se presentan en </w:t>
            </w:r>
            <w:r w:rsidRPr="00A534EF">
              <w:rPr>
                <w:rFonts w:cs="Times New Roman"/>
                <w:szCs w:val="24"/>
              </w:rPr>
              <w:t>leches con un grado de acidez mayor al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cual logra la proteína mantenerse estable frente al proceso de pasterización sin ocurrir la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 xml:space="preserve">coagulación. </w:t>
            </w:r>
          </w:p>
          <w:p w14:paraId="7803ACB0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 w:rsidRPr="00A534EF">
              <w:rPr>
                <w:rFonts w:cs="Times New Roman"/>
                <w:szCs w:val="24"/>
              </w:rPr>
              <w:t>La formación de los grumos se presenta ante la deshidratación de la proteína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frente la acción del alcohol, pues al incrementarse la acidez de la leche,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la proteína (caseínas)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pierde la capacidad de ligar agua. En la leche fresca se mantiene la solución estable sin que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 xml:space="preserve">aparezcan grumos. </w:t>
            </w:r>
          </w:p>
          <w:p w14:paraId="4004D279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El éxito de esta prueba</w:t>
            </w:r>
            <w:r>
              <w:rPr>
                <w:rFonts w:cs="Times New Roman"/>
                <w:szCs w:val="24"/>
              </w:rPr>
              <w:t xml:space="preserve"> está</w:t>
            </w:r>
            <w:r w:rsidRPr="00A534EF">
              <w:rPr>
                <w:rFonts w:cs="Times New Roman"/>
                <w:szCs w:val="24"/>
              </w:rPr>
              <w:t xml:space="preserve"> en buena medida en una adecuada preparación de la solución de alcohol, volúmenes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iguales de leche y alcohol, tiempo adecuado de mezcla pues si se deja demasiado tiempo aún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leches de baja acidez van a formar coágulos y finalmente la mano o el recipiente donde se va 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realizar la mezcla debe estar limpio de impurezas y libre de sustancias de tipo básico o ácido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que afectarán el resultado.</w:t>
            </w:r>
          </w:p>
          <w:p w14:paraId="140B5396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Esta prueba más que ser un indicador de la acidez de la leche, es un indicador de la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A534EF">
              <w:rPr>
                <w:rFonts w:cs="Times New Roman"/>
                <w:szCs w:val="24"/>
              </w:rPr>
              <w:t>termoestabilidad</w:t>
            </w:r>
            <w:proofErr w:type="spellEnd"/>
            <w:r w:rsidRPr="00A534EF">
              <w:rPr>
                <w:rFonts w:cs="Times New Roman"/>
                <w:szCs w:val="24"/>
              </w:rPr>
              <w:t xml:space="preserve"> de la proteína de la leche, si pasa esta prueba es indicador que la leche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puede sufrir sin alteración el tratamiento té</w:t>
            </w:r>
            <w:r>
              <w:rPr>
                <w:rFonts w:cs="Times New Roman"/>
                <w:szCs w:val="24"/>
              </w:rPr>
              <w:t>rmico de pasterización. E</w:t>
            </w:r>
            <w:r w:rsidRPr="00A534EF">
              <w:rPr>
                <w:rFonts w:cs="Times New Roman"/>
                <w:szCs w:val="24"/>
              </w:rPr>
              <w:t>n otros casos la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prueba se realiza con alcohol del 80% en volumen en cuyo caso es indicador de que la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proteína puede recibir tratamiento de U.H.T. sin ocurrir coagulación proteica.</w:t>
            </w:r>
          </w:p>
          <w:p w14:paraId="11925CFD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Prueba: </w:t>
            </w:r>
          </w:p>
          <w:p w14:paraId="370611EE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En un tubo de cristal, mezclar 2 ml de leche con 2 ml de alcohol </w:t>
            </w:r>
            <w:proofErr w:type="spellStart"/>
            <w:r>
              <w:rPr>
                <w:rFonts w:cs="Times New Roman"/>
                <w:szCs w:val="24"/>
              </w:rPr>
              <w:t>etílitico</w:t>
            </w:r>
            <w:proofErr w:type="spellEnd"/>
            <w:r>
              <w:rPr>
                <w:rFonts w:cs="Times New Roman"/>
                <w:szCs w:val="24"/>
              </w:rPr>
              <w:t xml:space="preserve"> al 75% (1,5 ml de alcohol 90º + 0,5 ml de agua destilada; o bien 1,4 ml de alcohol absoluto + 0,6 ml de agua). </w:t>
            </w:r>
          </w:p>
          <w:p w14:paraId="7EEA9DE4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Esperar unos 5-10 segundos y verificar la formación de coágulos en las paredes del tubo o en una copa de fondo oscuro o placa de </w:t>
            </w:r>
            <w:proofErr w:type="spellStart"/>
            <w:r>
              <w:rPr>
                <w:rFonts w:cs="Times New Roman"/>
                <w:szCs w:val="24"/>
              </w:rPr>
              <w:t>petri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</w:p>
          <w:p w14:paraId="09B82A25" w14:textId="77777777" w:rsidR="00BF66BB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93579B9" w14:textId="77777777" w:rsidR="00BF66BB" w:rsidRPr="008375BA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  <w:r w:rsidRPr="008375BA">
              <w:rPr>
                <w:rFonts w:cs="Times New Roman"/>
                <w:b/>
                <w:szCs w:val="24"/>
              </w:rPr>
              <w:t>Acidez cuantitativa</w:t>
            </w:r>
          </w:p>
          <w:p w14:paraId="138B9576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  <w:r w:rsidRPr="00A534EF">
              <w:rPr>
                <w:rFonts w:cs="Times New Roman"/>
                <w:szCs w:val="24"/>
              </w:rPr>
              <w:t>sta prueba permite cuantificar el grado de acidez de la leche</w:t>
            </w:r>
            <w:r>
              <w:rPr>
                <w:rFonts w:cs="Times New Roman"/>
                <w:szCs w:val="24"/>
              </w:rPr>
              <w:t xml:space="preserve">. </w:t>
            </w:r>
          </w:p>
          <w:p w14:paraId="6CF18F08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La cuantificación de la acidez de la leche sirve para identificar el destino de la leche para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variedad de procesos que tienen asociados diferentes tipos de tratamientos térmicos, pues los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grados de acidez de la leche generan distinta incidencia en la desnaturalización de la proteína y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por ello varían l</w:t>
            </w:r>
            <w:r>
              <w:rPr>
                <w:rFonts w:cs="Times New Roman"/>
                <w:szCs w:val="24"/>
              </w:rPr>
              <w:t xml:space="preserve">as posibilidades de coagulación. Así, </w:t>
            </w:r>
            <w:r w:rsidRPr="00A534EF">
              <w:rPr>
                <w:rFonts w:cs="Times New Roman"/>
                <w:szCs w:val="24"/>
              </w:rPr>
              <w:t>leches muy frescas tendrán una alta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estabilidad proteínica, mientras leches de alta acidez generada por los procesos fermentativos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ocasionarán la desnaturalización de las proteínas, las cuales coagularán dependiendo del tipo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de tratamiento térmico.</w:t>
            </w:r>
          </w:p>
          <w:p w14:paraId="0A090478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Leches muy frescas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serán utilizadas para elaboración de productos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concentrados por evaporación como dulces de leche y leche condensada azucarada, leche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UHT y bebidas fermentadas (yogur y kumis),</w:t>
            </w:r>
          </w:p>
          <w:p w14:paraId="16FD2C10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Las l</w:t>
            </w:r>
            <w:r w:rsidRPr="00A534EF">
              <w:rPr>
                <w:rFonts w:cs="Times New Roman"/>
                <w:szCs w:val="24"/>
              </w:rPr>
              <w:t>eches frescas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se emplearán para procesos que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involucran pasterización mientras que las leches ácidas que se cortan con tratamientos térmicos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superiores a 30ºC serán utilizadas para elaboración de quesos de pasta hilada y dulce cortado.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La prueba de acidez cuantitativa consiste en una titulación que se realiza de la siguiente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manera:</w:t>
            </w:r>
          </w:p>
          <w:p w14:paraId="09902BB2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Pr="00A534EF">
              <w:rPr>
                <w:rFonts w:cs="Times New Roman"/>
                <w:szCs w:val="24"/>
              </w:rPr>
              <w:t xml:space="preserve">Con una pipeta tome 10 ml de leche y viértala en un Erlenmeyer, </w:t>
            </w:r>
          </w:p>
          <w:p w14:paraId="7AE902E2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Adicionar</w:t>
            </w:r>
            <w:r w:rsidRPr="00A534EF">
              <w:rPr>
                <w:rFonts w:cs="Times New Roman"/>
                <w:szCs w:val="24"/>
              </w:rPr>
              <w:t xml:space="preserve"> 3 gotas del indicador </w:t>
            </w:r>
            <w:proofErr w:type="spellStart"/>
            <w:r w:rsidRPr="00A534EF">
              <w:rPr>
                <w:rFonts w:cs="Times New Roman"/>
                <w:szCs w:val="24"/>
              </w:rPr>
              <w:t>fenoftaleína</w:t>
            </w:r>
            <w:proofErr w:type="spellEnd"/>
            <w:r w:rsidRPr="00A534EF">
              <w:rPr>
                <w:rFonts w:cs="Times New Roman"/>
                <w:szCs w:val="24"/>
              </w:rPr>
              <w:t xml:space="preserve"> (solución al 2% P/V de </w:t>
            </w:r>
            <w:proofErr w:type="spellStart"/>
            <w:r w:rsidRPr="00A534EF">
              <w:rPr>
                <w:rFonts w:cs="Times New Roman"/>
                <w:szCs w:val="24"/>
              </w:rPr>
              <w:t>fenoftaleína</w:t>
            </w:r>
            <w:proofErr w:type="spellEnd"/>
            <w:r w:rsidRPr="00A534EF">
              <w:rPr>
                <w:rFonts w:cs="Times New Roman"/>
                <w:szCs w:val="24"/>
              </w:rPr>
              <w:t xml:space="preserve"> en alcohol etílico al 75% en volumen), </w:t>
            </w:r>
          </w:p>
          <w:p w14:paraId="58209348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3. Realizar </w:t>
            </w:r>
            <w:r w:rsidRPr="00A534EF">
              <w:rPr>
                <w:rFonts w:cs="Times New Roman"/>
                <w:szCs w:val="24"/>
              </w:rPr>
              <w:t>la titulación con una solución de hidróxido de sodio 0,1 Normal</w:t>
            </w:r>
            <w:r>
              <w:rPr>
                <w:rFonts w:cs="Times New Roman"/>
                <w:szCs w:val="24"/>
              </w:rPr>
              <w:t>, dejando caer</w:t>
            </w:r>
            <w:r w:rsidRPr="00A534EF">
              <w:rPr>
                <w:rFonts w:cs="Times New Roman"/>
                <w:szCs w:val="24"/>
              </w:rPr>
              <w:t xml:space="preserve"> cuidadosamente, gota a gota el hidróxido de sodio y agite el Erlenmeyer</w:t>
            </w:r>
            <w:r>
              <w:rPr>
                <w:rFonts w:cs="Times New Roman"/>
                <w:szCs w:val="24"/>
              </w:rPr>
              <w:t>. La titulación termina</w:t>
            </w:r>
            <w:r w:rsidRPr="00A534EF">
              <w:rPr>
                <w:rFonts w:cs="Times New Roman"/>
                <w:szCs w:val="24"/>
              </w:rPr>
              <w:t xml:space="preserve"> cuando la leche se torne levemente rosada. </w:t>
            </w:r>
          </w:p>
          <w:p w14:paraId="74BF22AB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 w:rsidRPr="00A534EF">
              <w:rPr>
                <w:rFonts w:cs="Times New Roman"/>
                <w:szCs w:val="24"/>
              </w:rPr>
              <w:t>Lea el volumen de hidróxido gastado en la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bureta, y valiéndose de las siguientes ecuaciones, encuentre la acidez de la leche, que puede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 xml:space="preserve">expresarse en grados </w:t>
            </w:r>
            <w:proofErr w:type="spellStart"/>
            <w:r w:rsidRPr="00A534EF">
              <w:rPr>
                <w:rFonts w:cs="Times New Roman"/>
                <w:szCs w:val="24"/>
              </w:rPr>
              <w:t>Thorner</w:t>
            </w:r>
            <w:proofErr w:type="spellEnd"/>
            <w:r w:rsidRPr="00A534EF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A534EF">
              <w:rPr>
                <w:rFonts w:cs="Times New Roman"/>
                <w:szCs w:val="24"/>
              </w:rPr>
              <w:t>ºTh</w:t>
            </w:r>
            <w:proofErr w:type="spellEnd"/>
            <w:r w:rsidRPr="00A534EF">
              <w:rPr>
                <w:rFonts w:cs="Times New Roman"/>
                <w:szCs w:val="24"/>
              </w:rPr>
              <w:t xml:space="preserve">), grados </w:t>
            </w:r>
            <w:proofErr w:type="spellStart"/>
            <w:r w:rsidRPr="00A534EF">
              <w:rPr>
                <w:rFonts w:cs="Times New Roman"/>
                <w:szCs w:val="24"/>
              </w:rPr>
              <w:t>Dornic</w:t>
            </w:r>
            <w:proofErr w:type="spellEnd"/>
            <w:r w:rsidRPr="00A534EF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A534EF">
              <w:rPr>
                <w:rFonts w:cs="Times New Roman"/>
                <w:szCs w:val="24"/>
              </w:rPr>
              <w:t>ºD</w:t>
            </w:r>
            <w:proofErr w:type="spellEnd"/>
            <w:r w:rsidRPr="00A534EF">
              <w:rPr>
                <w:rFonts w:cs="Times New Roman"/>
                <w:szCs w:val="24"/>
              </w:rPr>
              <w:t>) o porcentaje de ácido láctico.</w:t>
            </w:r>
          </w:p>
          <w:p w14:paraId="63A20171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 xml:space="preserve">Leche muy fresca se debe encontrar con una acidez titulable entre 16 y 18 </w:t>
            </w:r>
            <w:proofErr w:type="spellStart"/>
            <w:r w:rsidRPr="00A534EF">
              <w:rPr>
                <w:rFonts w:cs="Times New Roman"/>
                <w:szCs w:val="24"/>
              </w:rPr>
              <w:t>ºTh</w:t>
            </w:r>
            <w:proofErr w:type="spellEnd"/>
            <w:r w:rsidRPr="00A534EF">
              <w:rPr>
                <w:rFonts w:cs="Times New Roman"/>
                <w:szCs w:val="24"/>
              </w:rPr>
              <w:t>.</w:t>
            </w:r>
          </w:p>
          <w:p w14:paraId="591E27B0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La leche sufre coagulación durante la pasterización cuando alcanza valores de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aproximadamente 24ºTh, y en los procesos de concentración por evaporación, U.H.T. y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 xml:space="preserve">tratamientos térmicos para leches fermentadas con una acidez de 20 </w:t>
            </w:r>
            <w:proofErr w:type="spellStart"/>
            <w:r w:rsidRPr="00A534EF">
              <w:rPr>
                <w:rFonts w:cs="Times New Roman"/>
                <w:szCs w:val="24"/>
              </w:rPr>
              <w:t>ºTh</w:t>
            </w:r>
            <w:proofErr w:type="spellEnd"/>
            <w:r w:rsidRPr="00A534E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Las fórmulas para el cálculo y conversión de las unidades de acidez de la leche son las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siguientes:</w:t>
            </w:r>
          </w:p>
          <w:p w14:paraId="74E56A65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A534EF">
              <w:rPr>
                <w:rFonts w:cs="Times New Roman"/>
                <w:szCs w:val="24"/>
              </w:rPr>
              <w:t>ºTh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= (volumen de NaOH gastado)</w:t>
            </w:r>
            <w:r>
              <w:rPr>
                <w:rFonts w:cs="Times New Roman"/>
                <w:szCs w:val="24"/>
              </w:rPr>
              <w:t xml:space="preserve"> / (volumen de leche empleado) x </w:t>
            </w:r>
            <w:r w:rsidRPr="00A534EF">
              <w:rPr>
                <w:rFonts w:cs="Times New Roman"/>
                <w:szCs w:val="24"/>
              </w:rPr>
              <w:t>100</w:t>
            </w:r>
          </w:p>
          <w:p w14:paraId="202F8E45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A534EF">
              <w:rPr>
                <w:rFonts w:cs="Times New Roman"/>
                <w:szCs w:val="24"/>
              </w:rPr>
              <w:t>ºD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 xml:space="preserve">= </w:t>
            </w:r>
            <w:proofErr w:type="spellStart"/>
            <w:r w:rsidRPr="00A534EF">
              <w:rPr>
                <w:rFonts w:cs="Times New Roman"/>
                <w:szCs w:val="24"/>
              </w:rPr>
              <w:t>ºTh</w:t>
            </w:r>
            <w:proofErr w:type="spellEnd"/>
            <w:r w:rsidRPr="00A534EF">
              <w:rPr>
                <w:rFonts w:cs="Times New Roman"/>
                <w:szCs w:val="24"/>
              </w:rPr>
              <w:t xml:space="preserve"> x 0.9</w:t>
            </w:r>
          </w:p>
          <w:p w14:paraId="5B719DFE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 á</w:t>
            </w:r>
            <w:r w:rsidRPr="00A534EF">
              <w:rPr>
                <w:rFonts w:cs="Times New Roman"/>
                <w:szCs w:val="24"/>
              </w:rPr>
              <w:t>cido láctico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 xml:space="preserve">= </w:t>
            </w:r>
            <w:proofErr w:type="spellStart"/>
            <w:r w:rsidRPr="00A534EF">
              <w:rPr>
                <w:rFonts w:cs="Times New Roman"/>
                <w:szCs w:val="24"/>
              </w:rPr>
              <w:t>ºD</w:t>
            </w:r>
            <w:proofErr w:type="spellEnd"/>
            <w:r w:rsidRPr="00A534EF">
              <w:rPr>
                <w:rFonts w:cs="Times New Roman"/>
                <w:szCs w:val="24"/>
              </w:rPr>
              <w:t>/100</w:t>
            </w:r>
          </w:p>
          <w:p w14:paraId="30C70A91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Resultados de la muestra.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76"/>
              <w:gridCol w:w="2127"/>
            </w:tblGrid>
            <w:tr w:rsidR="00BF66BB" w14:paraId="7D33B2A1" w14:textId="77777777" w:rsidTr="00E437FF">
              <w:trPr>
                <w:trHeight w:val="340"/>
                <w:jc w:val="center"/>
              </w:trPr>
              <w:tc>
                <w:tcPr>
                  <w:tcW w:w="2376" w:type="dxa"/>
                </w:tcPr>
                <w:p w14:paraId="5EED28BA" w14:textId="77777777" w:rsidR="00BF66BB" w:rsidRDefault="00BF66BB" w:rsidP="004210FE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Grados Thor</w:t>
                  </w:r>
                </w:p>
              </w:tc>
              <w:tc>
                <w:tcPr>
                  <w:tcW w:w="2127" w:type="dxa"/>
                </w:tcPr>
                <w:p w14:paraId="4B404F6C" w14:textId="77777777" w:rsidR="00BF66BB" w:rsidRDefault="00BF66BB" w:rsidP="004210FE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BF66BB" w14:paraId="7B38466B" w14:textId="77777777" w:rsidTr="00E437FF">
              <w:trPr>
                <w:trHeight w:val="340"/>
                <w:jc w:val="center"/>
              </w:trPr>
              <w:tc>
                <w:tcPr>
                  <w:tcW w:w="2376" w:type="dxa"/>
                </w:tcPr>
                <w:p w14:paraId="4358C6DF" w14:textId="77777777" w:rsidR="00BF66BB" w:rsidRDefault="00BF66BB" w:rsidP="004210FE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Grados </w:t>
                  </w:r>
                  <w:proofErr w:type="spellStart"/>
                  <w:r>
                    <w:rPr>
                      <w:rFonts w:cs="Times New Roman"/>
                      <w:szCs w:val="24"/>
                    </w:rPr>
                    <w:t>Dornic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3FD22092" w14:textId="77777777" w:rsidR="00BF66BB" w:rsidRDefault="00BF66BB" w:rsidP="004210FE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BF66BB" w14:paraId="345B2283" w14:textId="77777777" w:rsidTr="00E437FF">
              <w:trPr>
                <w:trHeight w:val="340"/>
                <w:jc w:val="center"/>
              </w:trPr>
              <w:tc>
                <w:tcPr>
                  <w:tcW w:w="2376" w:type="dxa"/>
                </w:tcPr>
                <w:p w14:paraId="38F27EB8" w14:textId="77777777" w:rsidR="00BF66BB" w:rsidRDefault="00BF66BB" w:rsidP="004210FE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% de ácido láctico</w:t>
                  </w:r>
                </w:p>
              </w:tc>
              <w:tc>
                <w:tcPr>
                  <w:tcW w:w="2127" w:type="dxa"/>
                </w:tcPr>
                <w:p w14:paraId="49F41875" w14:textId="77777777" w:rsidR="00BF66BB" w:rsidRDefault="00BF66BB" w:rsidP="004210FE">
                  <w:pPr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2747C58C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</w:p>
          <w:p w14:paraId="07724A0E" w14:textId="77777777" w:rsidR="00BF66BB" w:rsidRPr="00A534EF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La prueba de acidez cuantitativa es un parámetro que se emplea además para la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estandarización de los procesos fermentativos en la producción de yogur, kumis y otros tipos de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leches fermentadas</w:t>
            </w:r>
            <w:r>
              <w:rPr>
                <w:rFonts w:cs="Times New Roman"/>
                <w:szCs w:val="24"/>
              </w:rPr>
              <w:t>. E</w:t>
            </w:r>
            <w:r w:rsidRPr="00A534EF">
              <w:rPr>
                <w:rFonts w:cs="Times New Roman"/>
                <w:szCs w:val="24"/>
              </w:rPr>
              <w:t>n estos casos se realiza la titulación del producto y se suspende la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fermentación cuando se alcanza un valor de acidez preestablecido en el proceso, pues en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algunos casos el tiempo no es un factor de estandarización ya que está afectado por variedad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de parámetros tales como temperatura durante la incubación, % de inóculo, tipo de cepas,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actividad del inóculo, entre otros parámetros. Así para el yogur se sugiere incubar hasta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lcanzar una acidez entre 75-</w:t>
            </w:r>
            <w:r w:rsidRPr="00A534EF">
              <w:rPr>
                <w:rFonts w:cs="Times New Roman"/>
                <w:szCs w:val="24"/>
              </w:rPr>
              <w:t>80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A534EF">
              <w:rPr>
                <w:rFonts w:cs="Times New Roman"/>
                <w:szCs w:val="24"/>
              </w:rPr>
              <w:t>ºTh</w:t>
            </w:r>
            <w:proofErr w:type="spellEnd"/>
            <w:r w:rsidRPr="00A534EF">
              <w:rPr>
                <w:rFonts w:cs="Times New Roman"/>
                <w:szCs w:val="24"/>
              </w:rPr>
              <w:t>, en el kumis normalmente se permite la ferme</w:t>
            </w:r>
            <w:r>
              <w:rPr>
                <w:rFonts w:cs="Times New Roman"/>
                <w:szCs w:val="24"/>
              </w:rPr>
              <w:t>ntación hasta alcanzar entre 80-</w:t>
            </w:r>
            <w:r w:rsidRPr="00A534EF">
              <w:rPr>
                <w:rFonts w:cs="Times New Roman"/>
                <w:szCs w:val="24"/>
              </w:rPr>
              <w:t xml:space="preserve">90 </w:t>
            </w:r>
            <w:proofErr w:type="spellStart"/>
            <w:r w:rsidRPr="00A534EF">
              <w:rPr>
                <w:rFonts w:cs="Times New Roman"/>
                <w:szCs w:val="24"/>
              </w:rPr>
              <w:t>ºTh</w:t>
            </w:r>
            <w:proofErr w:type="spellEnd"/>
            <w:r w:rsidRPr="00A534EF">
              <w:rPr>
                <w:rFonts w:cs="Times New Roman"/>
                <w:szCs w:val="24"/>
              </w:rPr>
              <w:t>.</w:t>
            </w:r>
          </w:p>
          <w:p w14:paraId="468FA56C" w14:textId="77777777" w:rsidR="00BF66BB" w:rsidRPr="00CE6F74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  <w:r w:rsidRPr="00CE6F74">
              <w:rPr>
                <w:rFonts w:cs="Times New Roman"/>
                <w:b/>
                <w:szCs w:val="24"/>
              </w:rPr>
              <w:t>Determinación del pH</w:t>
            </w:r>
          </w:p>
          <w:p w14:paraId="0FC9EBC4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A534EF">
              <w:rPr>
                <w:rFonts w:cs="Times New Roman"/>
                <w:szCs w:val="24"/>
              </w:rPr>
              <w:t>Una forma indirecta de establecer el grado de acidez de la leche es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mediante la determinación del pH mediante el uso de un potenciómetro previamente calibrado.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Leches frescas presentan una pequeña tendenc</w:t>
            </w:r>
            <w:r>
              <w:rPr>
                <w:rFonts w:cs="Times New Roman"/>
                <w:szCs w:val="24"/>
              </w:rPr>
              <w:t>ia a pH ácido con valores de 6,5</w:t>
            </w:r>
            <w:r w:rsidRPr="00A534EF">
              <w:rPr>
                <w:rFonts w:cs="Times New Roman"/>
                <w:szCs w:val="24"/>
              </w:rPr>
              <w:t xml:space="preserve"> a 6,8 debido 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la presencia de</w:t>
            </w:r>
            <w:r>
              <w:rPr>
                <w:rFonts w:cs="Times New Roman"/>
                <w:szCs w:val="24"/>
              </w:rPr>
              <w:t xml:space="preserve"> algunos ácidos como el cítrico y láctico. </w:t>
            </w:r>
          </w:p>
          <w:p w14:paraId="50667546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  <w:r w:rsidRPr="00A534EF">
              <w:rPr>
                <w:rFonts w:cs="Times New Roman"/>
                <w:szCs w:val="24"/>
              </w:rPr>
              <w:t>alores de pH con tendencia a la neutralidad en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muchos ca</w:t>
            </w:r>
            <w:r>
              <w:rPr>
                <w:rFonts w:cs="Times New Roman"/>
                <w:szCs w:val="24"/>
              </w:rPr>
              <w:t>sos son indicadores de mastitis. L</w:t>
            </w:r>
            <w:r w:rsidRPr="00A534EF">
              <w:rPr>
                <w:rFonts w:cs="Times New Roman"/>
                <w:szCs w:val="24"/>
              </w:rPr>
              <w:t>os procesos fermentativos estimulan la conversión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de lactosa en ácido láctico y dependiendo del microorganismo que realiza la fermentación se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originan otros tipos de ácidos que producen una mayor concentración de iones hidronio (H+)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que conllevan a un menor pH. As</w:t>
            </w:r>
            <w:r>
              <w:rPr>
                <w:rFonts w:cs="Times New Roman"/>
                <w:szCs w:val="24"/>
              </w:rPr>
              <w:t xml:space="preserve">í como la acidez titulable </w:t>
            </w:r>
            <w:r w:rsidRPr="00A534EF">
              <w:rPr>
                <w:rFonts w:cs="Times New Roman"/>
                <w:szCs w:val="24"/>
              </w:rPr>
              <w:t>es un parámetro de estandarización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del parámetro acidez en particular en los procesos de leches fermentadas, el pH es una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determinación con objetivos similares, así en el yogur se busca establecer el punto final de la</w:t>
            </w:r>
            <w:r>
              <w:rPr>
                <w:rFonts w:cs="Times New Roman"/>
                <w:szCs w:val="24"/>
              </w:rPr>
              <w:t xml:space="preserve"> </w:t>
            </w:r>
            <w:r w:rsidRPr="00A534EF">
              <w:rPr>
                <w:rFonts w:cs="Times New Roman"/>
                <w:szCs w:val="24"/>
              </w:rPr>
              <w:t>fermentación cuando se ha logra</w:t>
            </w:r>
            <w:r>
              <w:rPr>
                <w:rFonts w:cs="Times New Roman"/>
                <w:szCs w:val="24"/>
              </w:rPr>
              <w:t>do tener un pH entre 4,</w:t>
            </w:r>
            <w:r w:rsidRPr="00A534EF">
              <w:rPr>
                <w:rFonts w:cs="Times New Roman"/>
                <w:szCs w:val="24"/>
              </w:rPr>
              <w:t>5 y 4,</w:t>
            </w:r>
            <w:r>
              <w:rPr>
                <w:rFonts w:cs="Times New Roman"/>
                <w:szCs w:val="24"/>
              </w:rPr>
              <w:t xml:space="preserve">4. </w:t>
            </w:r>
          </w:p>
          <w:p w14:paraId="05ADEBAE" w14:textId="77777777" w:rsidR="00BF66BB" w:rsidRDefault="00BF66BB" w:rsidP="00BF66B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 de la muestra: ________________</w:t>
            </w:r>
          </w:p>
          <w:p w14:paraId="7C371F3D" w14:textId="77777777" w:rsidR="00E437FF" w:rsidRDefault="00E437FF" w:rsidP="00BF66BB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9B66DBB" w14:textId="77777777" w:rsidR="00BF66BB" w:rsidRDefault="00BF66BB" w:rsidP="00BF66B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Capacidad tampón de la leche</w:t>
            </w:r>
          </w:p>
          <w:p w14:paraId="169C8178" w14:textId="77777777" w:rsidR="00BF66BB" w:rsidRPr="0007076D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07076D">
              <w:rPr>
                <w:rFonts w:cs="Times New Roman"/>
                <w:szCs w:val="24"/>
              </w:rPr>
              <w:t xml:space="preserve">En 100ml de leche, se introduce la sonda del </w:t>
            </w:r>
            <w:proofErr w:type="spellStart"/>
            <w:r w:rsidRPr="0007076D">
              <w:rPr>
                <w:rFonts w:cs="Times New Roman"/>
                <w:szCs w:val="24"/>
              </w:rPr>
              <w:t>pHmetro</w:t>
            </w:r>
            <w:proofErr w:type="spellEnd"/>
            <w:r w:rsidRPr="0007076D">
              <w:rPr>
                <w:rFonts w:cs="Times New Roman"/>
                <w:szCs w:val="24"/>
              </w:rPr>
              <w:t xml:space="preserve"> y se toma el pH inicial. Seguidamente, se le va añadiendo a la leche 0,5ml de ácido clorhídrico al 0,5M cada 30 segundos, hasta llegar a un pH de 5. A partir de ahí, añadir 100 microlitros del ácido clorhídrico hasta alcanzar el pH de 4.5. </w:t>
            </w:r>
          </w:p>
          <w:p w14:paraId="0D1F869A" w14:textId="77777777" w:rsidR="00BF66BB" w:rsidRPr="0007076D" w:rsidRDefault="00BF66BB" w:rsidP="00BF66BB">
            <w:pPr>
              <w:jc w:val="both"/>
              <w:rPr>
                <w:rFonts w:cs="Times New Roman"/>
                <w:szCs w:val="24"/>
              </w:rPr>
            </w:pPr>
            <w:r w:rsidRPr="0007076D">
              <w:rPr>
                <w:rFonts w:cs="Times New Roman"/>
                <w:szCs w:val="24"/>
              </w:rPr>
              <w:t xml:space="preserve">Anotar la cantidad de ácido clorhídrico utilizada. </w:t>
            </w:r>
          </w:p>
          <w:p w14:paraId="0D7B89A8" w14:textId="77777777" w:rsidR="00FB1664" w:rsidRPr="00E437FF" w:rsidRDefault="00BF66BB" w:rsidP="00E437FF">
            <w:pPr>
              <w:jc w:val="both"/>
              <w:rPr>
                <w:rFonts w:cs="Times New Roman"/>
                <w:szCs w:val="24"/>
              </w:rPr>
            </w:pPr>
            <w:r w:rsidRPr="0007076D">
              <w:rPr>
                <w:rFonts w:cs="Times New Roman"/>
                <w:szCs w:val="24"/>
              </w:rPr>
              <w:t>ml de ácido clorhídrico utilizado____________</w:t>
            </w:r>
          </w:p>
        </w:tc>
      </w:tr>
      <w:tr w:rsidR="00FB1664" w:rsidRPr="00296C91" w14:paraId="1A258ABB" w14:textId="77777777" w:rsidTr="00E437FF">
        <w:trPr>
          <w:trHeight w:val="662"/>
        </w:trPr>
        <w:tc>
          <w:tcPr>
            <w:tcW w:w="9130" w:type="dxa"/>
            <w:gridSpan w:val="7"/>
            <w:vAlign w:val="center"/>
          </w:tcPr>
          <w:p w14:paraId="174C2927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lastRenderedPageBreak/>
              <w:t>Resultados:</w:t>
            </w:r>
          </w:p>
          <w:p w14:paraId="5FD37D74" w14:textId="77777777" w:rsidR="00FB1664" w:rsidRPr="0023699D" w:rsidRDefault="0023699D" w:rsidP="00296C91">
            <w:r w:rsidRPr="0023699D">
              <w:t xml:space="preserve">Los resultados servirán a los estudiantes para discernir y analizar los posibles tipos de problemas o fraudes que se podrían encontrar a nivel de recepción de la leche como materia prima. Posterior a ello, harán un examen relacionado a la práctica. </w:t>
            </w:r>
          </w:p>
          <w:p w14:paraId="4F80C57F" w14:textId="77777777" w:rsidR="00FB1664" w:rsidRPr="00296C91" w:rsidRDefault="00FB1664" w:rsidP="00296C91">
            <w:pPr>
              <w:rPr>
                <w:b/>
              </w:rPr>
            </w:pPr>
          </w:p>
        </w:tc>
      </w:tr>
      <w:tr w:rsidR="00FB1664" w:rsidRPr="00296C91" w14:paraId="0B9472C6" w14:textId="77777777" w:rsidTr="00E437FF">
        <w:trPr>
          <w:trHeight w:val="662"/>
        </w:trPr>
        <w:tc>
          <w:tcPr>
            <w:tcW w:w="9130" w:type="dxa"/>
            <w:gridSpan w:val="7"/>
            <w:vAlign w:val="center"/>
          </w:tcPr>
          <w:p w14:paraId="2D47E97F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Anexos:</w:t>
            </w:r>
          </w:p>
          <w:p w14:paraId="3AD58481" w14:textId="77777777" w:rsidR="00FB1664" w:rsidRPr="00296C91" w:rsidRDefault="00FB1664" w:rsidP="00296C91">
            <w:pPr>
              <w:rPr>
                <w:b/>
              </w:rPr>
            </w:pPr>
          </w:p>
          <w:p w14:paraId="2C491AC3" w14:textId="77777777" w:rsidR="00FB1664" w:rsidRPr="00296C91" w:rsidRDefault="00FB1664" w:rsidP="00296C91">
            <w:pPr>
              <w:rPr>
                <w:b/>
              </w:rPr>
            </w:pPr>
          </w:p>
        </w:tc>
      </w:tr>
      <w:tr w:rsidR="00FB1664" w:rsidRPr="00296C91" w14:paraId="628D9190" w14:textId="77777777" w:rsidTr="00E437FF">
        <w:trPr>
          <w:trHeight w:val="662"/>
        </w:trPr>
        <w:tc>
          <w:tcPr>
            <w:tcW w:w="9130" w:type="dxa"/>
            <w:gridSpan w:val="7"/>
            <w:vAlign w:val="center"/>
          </w:tcPr>
          <w:p w14:paraId="5903D7CA" w14:textId="77777777" w:rsidR="00FB1664" w:rsidRPr="00296C91" w:rsidRDefault="00FB1664" w:rsidP="00296C91">
            <w:pPr>
              <w:rPr>
                <w:b/>
              </w:rPr>
            </w:pPr>
            <w:r w:rsidRPr="00296C91">
              <w:rPr>
                <w:b/>
              </w:rPr>
              <w:t>Referencias bibliográficas:</w:t>
            </w:r>
          </w:p>
          <w:p w14:paraId="037A53A0" w14:textId="77777777" w:rsidR="00FB1664" w:rsidRPr="00296C91" w:rsidRDefault="0023699D" w:rsidP="00296C91">
            <w:pPr>
              <w:rPr>
                <w:b/>
              </w:rPr>
            </w:pPr>
            <w:r w:rsidRPr="00C5094A">
              <w:rPr>
                <w:rFonts w:ascii="Arial" w:eastAsia="Arial" w:hAnsi="Arial"/>
                <w:color w:val="000000"/>
                <w:sz w:val="18"/>
                <w:lang w:val="es-ES"/>
              </w:rPr>
              <w:t>3. Manual del ingeniero de alimentos. 2007. Editorial Grupo Latino Ltda. Colombia. ISBN 958-8203-236.</w:t>
            </w:r>
            <w:r w:rsidRPr="00C5094A">
              <w:rPr>
                <w:rFonts w:ascii="Arial" w:eastAsia="Arial" w:hAnsi="Arial"/>
                <w:color w:val="000000"/>
                <w:sz w:val="18"/>
                <w:lang w:val="es-ES"/>
              </w:rPr>
              <w:br/>
              <w:t>4. Norma Técnica Ecuatoriana. Leche cruda. Requisitos. NTE INEN 9:2012</w:t>
            </w:r>
            <w:r w:rsidRPr="00C5094A">
              <w:rPr>
                <w:rFonts w:ascii="Arial" w:eastAsia="Arial" w:hAnsi="Arial"/>
                <w:color w:val="000000"/>
                <w:sz w:val="18"/>
                <w:lang w:val="es-ES"/>
              </w:rPr>
              <w:br/>
              <w:t>5. Norma Técnica Ecuatoriana. Leche. Métodos de ensayo cualitativos para la determinación de la</w:t>
            </w:r>
            <w:r>
              <w:rPr>
                <w:rFonts w:ascii="Arial" w:eastAsia="Arial" w:hAnsi="Arial"/>
                <w:color w:val="000000"/>
                <w:sz w:val="18"/>
                <w:lang w:val="es-ES"/>
              </w:rPr>
              <w:t xml:space="preserve"> calidad.  NTE INEN 1500:2011  </w:t>
            </w:r>
          </w:p>
          <w:p w14:paraId="06E6E28B" w14:textId="77777777" w:rsidR="00FB1664" w:rsidRPr="00296C91" w:rsidRDefault="00FB1664" w:rsidP="00296C91">
            <w:pPr>
              <w:rPr>
                <w:b/>
              </w:rPr>
            </w:pPr>
          </w:p>
        </w:tc>
      </w:tr>
    </w:tbl>
    <w:p w14:paraId="6C161B73" w14:textId="77777777" w:rsidR="00E96B65" w:rsidRPr="00296C91" w:rsidRDefault="006047EF">
      <w:pPr>
        <w:rPr>
          <w:b/>
        </w:rPr>
      </w:pPr>
    </w:p>
    <w:p w14:paraId="2727F853" w14:textId="77777777" w:rsidR="00296C91" w:rsidRDefault="00FB1664">
      <w:r w:rsidRPr="00296C91">
        <w:rPr>
          <w:b/>
        </w:rPr>
        <w:t>Fecha de Revisión y Aprobación:</w:t>
      </w:r>
      <w:r w:rsidR="0023699D">
        <w:rPr>
          <w:b/>
        </w:rPr>
        <w:t xml:space="preserve"> </w:t>
      </w:r>
    </w:p>
    <w:p w14:paraId="436E5135" w14:textId="77777777" w:rsidR="0023699D" w:rsidRDefault="0023699D"/>
    <w:p w14:paraId="7A2E3BE9" w14:textId="77777777" w:rsidR="0023699D" w:rsidRDefault="0023699D"/>
    <w:p w14:paraId="5ABD5BCB" w14:textId="77777777" w:rsidR="0023699D" w:rsidRPr="00296C91" w:rsidRDefault="0023699D">
      <w:pPr>
        <w:rPr>
          <w:b/>
        </w:rPr>
      </w:pPr>
    </w:p>
    <w:p w14:paraId="2D776838" w14:textId="77777777" w:rsidR="00FB1664" w:rsidRPr="00296C91" w:rsidRDefault="00296C91">
      <w:pPr>
        <w:rPr>
          <w:b/>
        </w:rPr>
      </w:pPr>
      <w:r w:rsidRPr="00296C91">
        <w:rPr>
          <w:b/>
        </w:rPr>
        <w:t>Firma Director de Carrera:…………………………………</w:t>
      </w:r>
      <w:r w:rsidRPr="00296C91">
        <w:rPr>
          <w:b/>
        </w:rPr>
        <w:tab/>
        <w:t>Firma Docente:…………………</w:t>
      </w:r>
      <w:r>
        <w:rPr>
          <w:b/>
        </w:rPr>
        <w:t>………..</w:t>
      </w:r>
    </w:p>
    <w:sectPr w:rsidR="00FB1664" w:rsidRPr="00296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64"/>
    <w:rsid w:val="000325FC"/>
    <w:rsid w:val="0007634A"/>
    <w:rsid w:val="001149E1"/>
    <w:rsid w:val="00157B23"/>
    <w:rsid w:val="001C3143"/>
    <w:rsid w:val="0023699D"/>
    <w:rsid w:val="00296C91"/>
    <w:rsid w:val="002A7BF0"/>
    <w:rsid w:val="004C43D7"/>
    <w:rsid w:val="006047EF"/>
    <w:rsid w:val="006538E1"/>
    <w:rsid w:val="00664189"/>
    <w:rsid w:val="007A5827"/>
    <w:rsid w:val="007C7237"/>
    <w:rsid w:val="00896734"/>
    <w:rsid w:val="00AA7BED"/>
    <w:rsid w:val="00AE1D5F"/>
    <w:rsid w:val="00B32BFC"/>
    <w:rsid w:val="00B41ED6"/>
    <w:rsid w:val="00BD1FE3"/>
    <w:rsid w:val="00BE0BEF"/>
    <w:rsid w:val="00BF66BB"/>
    <w:rsid w:val="00D52992"/>
    <w:rsid w:val="00DF0F74"/>
    <w:rsid w:val="00E437FF"/>
    <w:rsid w:val="00F9390D"/>
    <w:rsid w:val="00FB1664"/>
    <w:rsid w:val="00FC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21D5"/>
  <w15:docId w15:val="{FA0FDC1D-35E7-4C66-A87E-094E1D05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664"/>
    <w:rPr>
      <w:rFonts w:ascii="Tahoma" w:hAnsi="Tahoma" w:cs="Tahoma"/>
      <w:sz w:val="16"/>
      <w:szCs w:val="16"/>
    </w:rPr>
  </w:style>
  <w:style w:type="table" w:customStyle="1" w:styleId="Tablaconcuadrcula4-nfasis41">
    <w:name w:val="Tabla con cuadrícula 4 - Énfasis 41"/>
    <w:basedOn w:val="Tablanormal"/>
    <w:uiPriority w:val="49"/>
    <w:rsid w:val="00BF66BB"/>
    <w:pPr>
      <w:spacing w:after="0" w:line="240" w:lineRule="auto"/>
    </w:pPr>
    <w:rPr>
      <w:rFonts w:eastAsiaTheme="minorEastAsia"/>
      <w:lang w:eastAsia="es-EC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lara-nfasis1">
    <w:name w:val="Light List Accent 1"/>
    <w:basedOn w:val="Tablanormal"/>
    <w:uiPriority w:val="61"/>
    <w:rsid w:val="00BF66B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1798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María Fernanda Rojas</dc:creator>
  <cp:lastModifiedBy>Davinia Sánchez Macías</cp:lastModifiedBy>
  <cp:revision>9</cp:revision>
  <dcterms:created xsi:type="dcterms:W3CDTF">2019-01-17T23:47:00Z</dcterms:created>
  <dcterms:modified xsi:type="dcterms:W3CDTF">2020-05-04T15:56:00Z</dcterms:modified>
</cp:coreProperties>
</file>