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34C2" w14:textId="77777777" w:rsidR="009659AB" w:rsidRDefault="009659AB" w:rsidP="00854F7D">
      <w:pPr>
        <w:rPr>
          <w:rFonts w:ascii="Times New Roman" w:hAnsi="Times New Roman" w:cs="Times New Roman"/>
          <w:sz w:val="20"/>
          <w:szCs w:val="20"/>
        </w:rPr>
      </w:pPr>
    </w:p>
    <w:tbl>
      <w:tblPr>
        <w:tblStyle w:val="Tablaconcuadrcula"/>
        <w:tblW w:w="9240" w:type="dxa"/>
        <w:tblInd w:w="-176" w:type="dxa"/>
        <w:tblLook w:val="04A0" w:firstRow="1" w:lastRow="0" w:firstColumn="1" w:lastColumn="0" w:noHBand="0" w:noVBand="1"/>
      </w:tblPr>
      <w:tblGrid>
        <w:gridCol w:w="2723"/>
        <w:gridCol w:w="1701"/>
        <w:gridCol w:w="471"/>
        <w:gridCol w:w="805"/>
        <w:gridCol w:w="1275"/>
        <w:gridCol w:w="92"/>
        <w:gridCol w:w="2173"/>
      </w:tblGrid>
      <w:tr w:rsidR="00214AF0" w:rsidRPr="0011106C" w14:paraId="567849F4" w14:textId="77777777" w:rsidTr="004B4DE5">
        <w:tc>
          <w:tcPr>
            <w:tcW w:w="9240" w:type="dxa"/>
            <w:gridSpan w:val="7"/>
            <w:shd w:val="clear" w:color="auto" w:fill="F2F2F2" w:themeFill="background1" w:themeFillShade="F2"/>
          </w:tcPr>
          <w:p w14:paraId="7893BAF5" w14:textId="77777777" w:rsidR="00214AF0" w:rsidRPr="0011106C" w:rsidRDefault="00214AF0" w:rsidP="004B4DE5">
            <w:pPr>
              <w:spacing w:after="0" w:line="240" w:lineRule="auto"/>
              <w:jc w:val="center"/>
              <w:rPr>
                <w:rFonts w:ascii="Arial" w:hAnsi="Arial" w:cs="Arial"/>
                <w:b/>
              </w:rPr>
            </w:pPr>
            <w:r w:rsidRPr="0011106C">
              <w:rPr>
                <w:rFonts w:ascii="Arial" w:hAnsi="Arial" w:cs="Arial"/>
                <w:b/>
              </w:rPr>
              <w:t>GUÍA DE PRÁCTICA DE LABORATORIO</w:t>
            </w:r>
          </w:p>
        </w:tc>
      </w:tr>
      <w:tr w:rsidR="00214AF0" w:rsidRPr="0011106C" w14:paraId="61A89D8D" w14:textId="77777777" w:rsidTr="004B4DE5">
        <w:tc>
          <w:tcPr>
            <w:tcW w:w="2723" w:type="dxa"/>
            <w:shd w:val="clear" w:color="auto" w:fill="F2F2F2" w:themeFill="background1" w:themeFillShade="F2"/>
          </w:tcPr>
          <w:p w14:paraId="5FBA06B5" w14:textId="77777777" w:rsidR="00214AF0" w:rsidRPr="0011106C" w:rsidRDefault="00214AF0" w:rsidP="004B4DE5">
            <w:pPr>
              <w:spacing w:after="0" w:line="240" w:lineRule="auto"/>
              <w:rPr>
                <w:rFonts w:ascii="Arial" w:hAnsi="Arial" w:cs="Arial"/>
                <w:b/>
              </w:rPr>
            </w:pPr>
            <w:r w:rsidRPr="0011106C">
              <w:rPr>
                <w:rFonts w:ascii="Arial" w:hAnsi="Arial" w:cs="Arial"/>
                <w:b/>
              </w:rPr>
              <w:t>PERÍODO ACADÉMICO</w:t>
            </w:r>
          </w:p>
        </w:tc>
        <w:tc>
          <w:tcPr>
            <w:tcW w:w="6517" w:type="dxa"/>
            <w:gridSpan w:val="6"/>
            <w:shd w:val="clear" w:color="auto" w:fill="F2F2F2" w:themeFill="background1" w:themeFillShade="F2"/>
          </w:tcPr>
          <w:p w14:paraId="7EA02B43" w14:textId="4209A7F7" w:rsidR="00214AF0" w:rsidRPr="0011106C" w:rsidRDefault="007C0660" w:rsidP="004B4DE5">
            <w:pPr>
              <w:spacing w:after="0" w:line="240" w:lineRule="auto"/>
              <w:rPr>
                <w:rFonts w:ascii="Arial" w:hAnsi="Arial" w:cs="Arial"/>
                <w:b/>
              </w:rPr>
            </w:pPr>
            <w:r>
              <w:rPr>
                <w:rFonts w:ascii="Arial" w:eastAsia="Arial" w:hAnsi="Arial" w:cs="Arial"/>
                <w:color w:val="000000"/>
              </w:rPr>
              <w:t xml:space="preserve"> 202</w:t>
            </w:r>
            <w:r w:rsidR="001811EB">
              <w:rPr>
                <w:rFonts w:ascii="Arial" w:eastAsia="Arial" w:hAnsi="Arial" w:cs="Arial"/>
                <w:color w:val="000000"/>
              </w:rPr>
              <w:t>4</w:t>
            </w:r>
            <w:r>
              <w:rPr>
                <w:rFonts w:ascii="Arial" w:eastAsia="Arial" w:hAnsi="Arial" w:cs="Arial"/>
                <w:color w:val="000000"/>
              </w:rPr>
              <w:t xml:space="preserve"> – 2S</w:t>
            </w:r>
          </w:p>
        </w:tc>
      </w:tr>
      <w:tr w:rsidR="00214AF0" w:rsidRPr="0011106C" w14:paraId="71340506" w14:textId="77777777" w:rsidTr="004B4DE5">
        <w:tc>
          <w:tcPr>
            <w:tcW w:w="2723" w:type="dxa"/>
          </w:tcPr>
          <w:p w14:paraId="1CB11FF0" w14:textId="77777777" w:rsidR="00214AF0" w:rsidRPr="0011106C" w:rsidRDefault="00214AF0" w:rsidP="004B4DE5">
            <w:pPr>
              <w:spacing w:after="0" w:line="240" w:lineRule="auto"/>
              <w:rPr>
                <w:rFonts w:ascii="Arial" w:hAnsi="Arial" w:cs="Arial"/>
                <w:b/>
              </w:rPr>
            </w:pPr>
            <w:r w:rsidRPr="0011106C">
              <w:rPr>
                <w:rFonts w:ascii="Arial" w:hAnsi="Arial" w:cs="Arial"/>
                <w:b/>
              </w:rPr>
              <w:t>ASIGNATURA</w:t>
            </w:r>
          </w:p>
        </w:tc>
        <w:tc>
          <w:tcPr>
            <w:tcW w:w="2172" w:type="dxa"/>
            <w:gridSpan w:val="2"/>
          </w:tcPr>
          <w:p w14:paraId="5222FB60" w14:textId="77777777" w:rsidR="00214AF0" w:rsidRPr="0011106C" w:rsidRDefault="0075741D" w:rsidP="004B4DE5">
            <w:pPr>
              <w:spacing w:after="0" w:line="240" w:lineRule="auto"/>
              <w:jc w:val="center"/>
              <w:rPr>
                <w:rFonts w:ascii="Arial" w:hAnsi="Arial" w:cs="Arial"/>
                <w:b/>
              </w:rPr>
            </w:pPr>
            <w:r>
              <w:rPr>
                <w:rFonts w:ascii="Arial" w:hAnsi="Arial" w:cs="Arial"/>
                <w:b/>
              </w:rPr>
              <w:t>BACTERIOLOGIA</w:t>
            </w:r>
          </w:p>
        </w:tc>
        <w:tc>
          <w:tcPr>
            <w:tcW w:w="2172" w:type="dxa"/>
            <w:gridSpan w:val="3"/>
          </w:tcPr>
          <w:p w14:paraId="23126CC4" w14:textId="7529A381" w:rsidR="00214AF0" w:rsidRPr="0011106C" w:rsidRDefault="00214AF0" w:rsidP="004B4DE5">
            <w:pPr>
              <w:spacing w:after="0" w:line="240" w:lineRule="auto"/>
              <w:rPr>
                <w:rFonts w:ascii="Arial" w:hAnsi="Arial" w:cs="Arial"/>
                <w:b/>
              </w:rPr>
            </w:pPr>
            <w:r w:rsidRPr="0011106C">
              <w:rPr>
                <w:rFonts w:ascii="Arial" w:hAnsi="Arial" w:cs="Arial"/>
                <w:b/>
              </w:rPr>
              <w:t xml:space="preserve">SEMESTRE: </w:t>
            </w:r>
            <w:r w:rsidR="001811EB">
              <w:rPr>
                <w:rFonts w:ascii="Arial" w:hAnsi="Arial" w:cs="Arial"/>
                <w:b/>
              </w:rPr>
              <w:t>8</w:t>
            </w:r>
          </w:p>
        </w:tc>
        <w:tc>
          <w:tcPr>
            <w:tcW w:w="2173" w:type="dxa"/>
          </w:tcPr>
          <w:p w14:paraId="14E35B58" w14:textId="77777777" w:rsidR="00214AF0" w:rsidRPr="0011106C" w:rsidRDefault="00214AF0" w:rsidP="004B4DE5">
            <w:pPr>
              <w:spacing w:after="0" w:line="240" w:lineRule="auto"/>
              <w:rPr>
                <w:rFonts w:ascii="Arial" w:hAnsi="Arial" w:cs="Arial"/>
                <w:b/>
              </w:rPr>
            </w:pPr>
            <w:r w:rsidRPr="0011106C">
              <w:rPr>
                <w:rFonts w:ascii="Arial" w:hAnsi="Arial" w:cs="Arial"/>
                <w:b/>
              </w:rPr>
              <w:t>PARALELO: A</w:t>
            </w:r>
          </w:p>
        </w:tc>
      </w:tr>
      <w:tr w:rsidR="00214AF0" w:rsidRPr="0011106C" w14:paraId="7F8379ED" w14:textId="77777777" w:rsidTr="004B4DE5">
        <w:tc>
          <w:tcPr>
            <w:tcW w:w="2723" w:type="dxa"/>
            <w:shd w:val="clear" w:color="auto" w:fill="F2F2F2" w:themeFill="background1" w:themeFillShade="F2"/>
          </w:tcPr>
          <w:p w14:paraId="73B1B103" w14:textId="77777777" w:rsidR="00214AF0" w:rsidRPr="0011106C" w:rsidRDefault="00214AF0" w:rsidP="004B4DE5">
            <w:pPr>
              <w:spacing w:after="0" w:line="240" w:lineRule="auto"/>
              <w:rPr>
                <w:rFonts w:ascii="Arial" w:hAnsi="Arial" w:cs="Arial"/>
                <w:b/>
              </w:rPr>
            </w:pPr>
            <w:r w:rsidRPr="0011106C">
              <w:rPr>
                <w:rFonts w:ascii="Arial" w:hAnsi="Arial" w:cs="Arial"/>
                <w:b/>
              </w:rPr>
              <w:t>NOMBRE DEL DOCENTE</w:t>
            </w:r>
          </w:p>
        </w:tc>
        <w:tc>
          <w:tcPr>
            <w:tcW w:w="6517" w:type="dxa"/>
            <w:gridSpan w:val="6"/>
          </w:tcPr>
          <w:p w14:paraId="02E0A76C" w14:textId="77777777" w:rsidR="00214AF0" w:rsidRPr="0011106C" w:rsidRDefault="00214AF0" w:rsidP="004B4DE5">
            <w:pPr>
              <w:spacing w:after="0"/>
              <w:rPr>
                <w:rFonts w:ascii="Arial" w:hAnsi="Arial" w:cs="Arial"/>
                <w:b/>
              </w:rPr>
            </w:pPr>
            <w:r w:rsidRPr="0011106C">
              <w:rPr>
                <w:rFonts w:ascii="Arial" w:hAnsi="Arial" w:cs="Arial"/>
                <w:b/>
              </w:rPr>
              <w:t>ANA CAROLINA GONZÁLEZ R</w:t>
            </w:r>
          </w:p>
        </w:tc>
      </w:tr>
      <w:tr w:rsidR="00214AF0" w:rsidRPr="0011106C" w14:paraId="0C39D2DF" w14:textId="77777777" w:rsidTr="004B4DE5">
        <w:tc>
          <w:tcPr>
            <w:tcW w:w="2723" w:type="dxa"/>
            <w:shd w:val="clear" w:color="auto" w:fill="F2F2F2" w:themeFill="background1" w:themeFillShade="F2"/>
          </w:tcPr>
          <w:p w14:paraId="71E972EE" w14:textId="77777777" w:rsidR="00214AF0" w:rsidRPr="0011106C" w:rsidRDefault="00214AF0" w:rsidP="004B4DE5">
            <w:pPr>
              <w:spacing w:after="0"/>
              <w:ind w:left="-74"/>
              <w:rPr>
                <w:rFonts w:ascii="Arial" w:hAnsi="Arial" w:cs="Arial"/>
                <w:b/>
              </w:rPr>
            </w:pPr>
            <w:r w:rsidRPr="0011106C">
              <w:rPr>
                <w:rFonts w:ascii="Arial" w:hAnsi="Arial" w:cs="Arial"/>
                <w:b/>
              </w:rPr>
              <w:t xml:space="preserve"> FECHA</w:t>
            </w:r>
          </w:p>
        </w:tc>
        <w:tc>
          <w:tcPr>
            <w:tcW w:w="6517" w:type="dxa"/>
            <w:gridSpan w:val="6"/>
          </w:tcPr>
          <w:p w14:paraId="23EB12B8" w14:textId="75D857FA" w:rsidR="00214AF0" w:rsidRPr="0011106C" w:rsidRDefault="007C0660" w:rsidP="004B4DE5">
            <w:pPr>
              <w:tabs>
                <w:tab w:val="left" w:pos="142"/>
              </w:tabs>
              <w:spacing w:after="0"/>
              <w:jc w:val="both"/>
              <w:rPr>
                <w:rFonts w:ascii="Arial" w:hAnsi="Arial" w:cs="Arial"/>
                <w:b/>
              </w:rPr>
            </w:pPr>
            <w:r>
              <w:rPr>
                <w:rFonts w:ascii="Arial" w:hAnsi="Arial" w:cs="Arial"/>
                <w:b/>
              </w:rPr>
              <w:t>03/</w:t>
            </w:r>
            <w:r w:rsidR="001811EB">
              <w:rPr>
                <w:rFonts w:ascii="Arial" w:hAnsi="Arial" w:cs="Arial"/>
                <w:b/>
              </w:rPr>
              <w:t>10</w:t>
            </w:r>
            <w:r>
              <w:rPr>
                <w:rFonts w:ascii="Arial" w:hAnsi="Arial" w:cs="Arial"/>
                <w:b/>
              </w:rPr>
              <w:t>/202</w:t>
            </w:r>
            <w:r w:rsidR="001811EB">
              <w:rPr>
                <w:rFonts w:ascii="Arial" w:hAnsi="Arial" w:cs="Arial"/>
                <w:b/>
              </w:rPr>
              <w:t>4</w:t>
            </w:r>
          </w:p>
        </w:tc>
      </w:tr>
      <w:tr w:rsidR="00214AF0" w:rsidRPr="0011106C" w14:paraId="2B2EEBBD" w14:textId="77777777" w:rsidTr="004B4DE5">
        <w:tc>
          <w:tcPr>
            <w:tcW w:w="2723" w:type="dxa"/>
          </w:tcPr>
          <w:p w14:paraId="215B6711" w14:textId="77777777" w:rsidR="00214AF0" w:rsidRPr="0011106C" w:rsidRDefault="00214AF0" w:rsidP="004B4DE5">
            <w:pPr>
              <w:tabs>
                <w:tab w:val="left" w:pos="142"/>
              </w:tabs>
              <w:spacing w:after="0"/>
              <w:rPr>
                <w:rFonts w:ascii="Arial" w:hAnsi="Arial" w:cs="Arial"/>
                <w:b/>
              </w:rPr>
            </w:pPr>
            <w:r w:rsidRPr="0011106C">
              <w:rPr>
                <w:rFonts w:ascii="Arial" w:hAnsi="Arial" w:cs="Arial"/>
                <w:b/>
              </w:rPr>
              <w:t>NÚMERO DE PRÁCTICA</w:t>
            </w:r>
          </w:p>
        </w:tc>
        <w:tc>
          <w:tcPr>
            <w:tcW w:w="1701" w:type="dxa"/>
          </w:tcPr>
          <w:p w14:paraId="4A8DB78A" w14:textId="77777777" w:rsidR="00214AF0" w:rsidRPr="0011106C" w:rsidRDefault="00214AF0" w:rsidP="004B4DE5">
            <w:pPr>
              <w:tabs>
                <w:tab w:val="left" w:pos="142"/>
              </w:tabs>
              <w:spacing w:after="0"/>
              <w:jc w:val="both"/>
              <w:rPr>
                <w:rFonts w:ascii="Arial" w:hAnsi="Arial" w:cs="Arial"/>
                <w:b/>
              </w:rPr>
            </w:pPr>
            <w:r>
              <w:rPr>
                <w:rFonts w:ascii="Arial" w:hAnsi="Arial" w:cs="Arial"/>
                <w:b/>
              </w:rPr>
              <w:t xml:space="preserve">9  </w:t>
            </w:r>
          </w:p>
        </w:tc>
        <w:tc>
          <w:tcPr>
            <w:tcW w:w="2551" w:type="dxa"/>
            <w:gridSpan w:val="3"/>
          </w:tcPr>
          <w:p w14:paraId="39C70419" w14:textId="23A6B042" w:rsidR="00214AF0" w:rsidRPr="0011106C" w:rsidRDefault="007C0660" w:rsidP="004B4DE5">
            <w:pPr>
              <w:tabs>
                <w:tab w:val="left" w:pos="142"/>
              </w:tabs>
              <w:spacing w:after="0"/>
              <w:jc w:val="both"/>
              <w:rPr>
                <w:rFonts w:ascii="Arial" w:hAnsi="Arial" w:cs="Arial"/>
                <w:b/>
              </w:rPr>
            </w:pPr>
            <w:r>
              <w:rPr>
                <w:rFonts w:ascii="Arial" w:hAnsi="Arial" w:cs="Arial"/>
                <w:b/>
              </w:rPr>
              <w:t>HORA: 0</w:t>
            </w:r>
            <w:r w:rsidR="001811EB">
              <w:rPr>
                <w:rFonts w:ascii="Arial" w:hAnsi="Arial" w:cs="Arial"/>
                <w:b/>
              </w:rPr>
              <w:t>9</w:t>
            </w:r>
            <w:r>
              <w:rPr>
                <w:rFonts w:ascii="Arial" w:hAnsi="Arial" w:cs="Arial"/>
                <w:b/>
              </w:rPr>
              <w:t>:00-</w:t>
            </w:r>
            <w:r w:rsidR="001811EB">
              <w:rPr>
                <w:rFonts w:ascii="Arial" w:hAnsi="Arial" w:cs="Arial"/>
                <w:b/>
              </w:rPr>
              <w:t>12</w:t>
            </w:r>
            <w:r w:rsidR="00214AF0" w:rsidRPr="0011106C">
              <w:rPr>
                <w:rFonts w:ascii="Arial" w:hAnsi="Arial" w:cs="Arial"/>
                <w:b/>
              </w:rPr>
              <w:t>:00H</w:t>
            </w:r>
          </w:p>
        </w:tc>
        <w:tc>
          <w:tcPr>
            <w:tcW w:w="2265" w:type="dxa"/>
            <w:gridSpan w:val="2"/>
          </w:tcPr>
          <w:p w14:paraId="22F4FA31" w14:textId="77777777" w:rsidR="00214AF0" w:rsidRPr="0011106C" w:rsidRDefault="00214AF0" w:rsidP="004B4DE5">
            <w:pPr>
              <w:spacing w:after="0"/>
              <w:jc w:val="both"/>
              <w:rPr>
                <w:rFonts w:ascii="Arial" w:hAnsi="Arial" w:cs="Arial"/>
                <w:b/>
              </w:rPr>
            </w:pPr>
            <w:r w:rsidRPr="0011106C">
              <w:rPr>
                <w:rFonts w:ascii="Arial" w:hAnsi="Arial" w:cs="Arial"/>
                <w:b/>
              </w:rPr>
              <w:t>DURACIÓN: 3H</w:t>
            </w:r>
          </w:p>
        </w:tc>
      </w:tr>
      <w:tr w:rsidR="00214AF0" w:rsidRPr="0011106C" w14:paraId="3040E4F4" w14:textId="77777777" w:rsidTr="004B4DE5">
        <w:tc>
          <w:tcPr>
            <w:tcW w:w="2723" w:type="dxa"/>
            <w:vMerge w:val="restart"/>
            <w:vAlign w:val="center"/>
          </w:tcPr>
          <w:p w14:paraId="42168581" w14:textId="77777777" w:rsidR="00214AF0" w:rsidRPr="0011106C" w:rsidRDefault="00214AF0" w:rsidP="004B4DE5">
            <w:pPr>
              <w:spacing w:after="0"/>
              <w:rPr>
                <w:rFonts w:ascii="Arial" w:hAnsi="Arial" w:cs="Arial"/>
                <w:b/>
              </w:rPr>
            </w:pPr>
            <w:r w:rsidRPr="0011106C">
              <w:rPr>
                <w:rFonts w:ascii="Arial" w:hAnsi="Arial" w:cs="Arial"/>
                <w:b/>
              </w:rPr>
              <w:t>NOMBRE DE LOS ESTUDIANTES.</w:t>
            </w:r>
          </w:p>
        </w:tc>
        <w:tc>
          <w:tcPr>
            <w:tcW w:w="2977" w:type="dxa"/>
            <w:gridSpan w:val="3"/>
            <w:shd w:val="clear" w:color="auto" w:fill="F2F2F2" w:themeFill="background1" w:themeFillShade="F2"/>
          </w:tcPr>
          <w:p w14:paraId="750C8984" w14:textId="77777777" w:rsidR="00214AF0" w:rsidRPr="0011106C" w:rsidRDefault="00214AF0" w:rsidP="004B4DE5">
            <w:pPr>
              <w:spacing w:after="0"/>
              <w:jc w:val="center"/>
              <w:rPr>
                <w:rFonts w:ascii="Arial" w:hAnsi="Arial" w:cs="Arial"/>
                <w:b/>
              </w:rPr>
            </w:pPr>
            <w:r w:rsidRPr="0011106C">
              <w:rPr>
                <w:rFonts w:ascii="Arial" w:hAnsi="Arial" w:cs="Arial"/>
                <w:b/>
              </w:rPr>
              <w:t>GRUPO 1</w:t>
            </w:r>
          </w:p>
        </w:tc>
        <w:tc>
          <w:tcPr>
            <w:tcW w:w="3540" w:type="dxa"/>
            <w:gridSpan w:val="3"/>
            <w:shd w:val="clear" w:color="auto" w:fill="F2F2F2" w:themeFill="background1" w:themeFillShade="F2"/>
          </w:tcPr>
          <w:p w14:paraId="7D047D1E" w14:textId="77777777" w:rsidR="00214AF0" w:rsidRPr="0011106C" w:rsidRDefault="00214AF0" w:rsidP="004B4DE5">
            <w:pPr>
              <w:spacing w:after="0"/>
              <w:jc w:val="center"/>
              <w:rPr>
                <w:rFonts w:ascii="Arial" w:hAnsi="Arial" w:cs="Arial"/>
                <w:b/>
              </w:rPr>
            </w:pPr>
            <w:r w:rsidRPr="0011106C">
              <w:rPr>
                <w:rFonts w:ascii="Arial" w:hAnsi="Arial" w:cs="Arial"/>
                <w:b/>
              </w:rPr>
              <w:t>GRUPO 2</w:t>
            </w:r>
          </w:p>
        </w:tc>
      </w:tr>
      <w:tr w:rsidR="007C0660" w:rsidRPr="004E60A0" w14:paraId="0FDD3CA2" w14:textId="77777777" w:rsidTr="008D5976">
        <w:trPr>
          <w:trHeight w:val="250"/>
        </w:trPr>
        <w:tc>
          <w:tcPr>
            <w:tcW w:w="2723" w:type="dxa"/>
            <w:vMerge/>
            <w:vAlign w:val="center"/>
          </w:tcPr>
          <w:p w14:paraId="449C44A0" w14:textId="77777777" w:rsidR="007C0660" w:rsidRPr="0011106C" w:rsidRDefault="007C0660" w:rsidP="004B4DE5">
            <w:pPr>
              <w:spacing w:after="0"/>
              <w:ind w:right="-108"/>
              <w:rPr>
                <w:rFonts w:ascii="Arial" w:hAnsi="Arial" w:cs="Arial"/>
                <w:b/>
              </w:rPr>
            </w:pPr>
          </w:p>
        </w:tc>
        <w:tc>
          <w:tcPr>
            <w:tcW w:w="2977" w:type="dxa"/>
            <w:gridSpan w:val="3"/>
            <w:vAlign w:val="bottom"/>
          </w:tcPr>
          <w:p w14:paraId="3A017BC0" w14:textId="2B05F962" w:rsidR="007C0660" w:rsidRDefault="007C0660" w:rsidP="006E2347">
            <w:pPr>
              <w:rPr>
                <w:rFonts w:ascii="Arial" w:hAnsi="Arial" w:cs="Arial"/>
                <w:color w:val="000000"/>
                <w:sz w:val="16"/>
                <w:szCs w:val="16"/>
              </w:rPr>
            </w:pPr>
          </w:p>
        </w:tc>
        <w:tc>
          <w:tcPr>
            <w:tcW w:w="3540" w:type="dxa"/>
            <w:gridSpan w:val="3"/>
            <w:vAlign w:val="bottom"/>
          </w:tcPr>
          <w:p w14:paraId="65F5557B" w14:textId="4CC48A99" w:rsidR="007C0660" w:rsidRDefault="007C0660" w:rsidP="006E2347">
            <w:pPr>
              <w:rPr>
                <w:rFonts w:ascii="Arial" w:hAnsi="Arial" w:cs="Arial"/>
                <w:color w:val="000000"/>
                <w:sz w:val="16"/>
                <w:szCs w:val="16"/>
              </w:rPr>
            </w:pPr>
          </w:p>
        </w:tc>
      </w:tr>
      <w:tr w:rsidR="007C0660" w:rsidRPr="004E60A0" w14:paraId="2D8EA632" w14:textId="77777777" w:rsidTr="008D5976">
        <w:trPr>
          <w:trHeight w:val="250"/>
        </w:trPr>
        <w:tc>
          <w:tcPr>
            <w:tcW w:w="2723" w:type="dxa"/>
            <w:vMerge/>
            <w:vAlign w:val="center"/>
          </w:tcPr>
          <w:p w14:paraId="356BCA60" w14:textId="77777777" w:rsidR="007C0660" w:rsidRPr="0011106C" w:rsidRDefault="007C0660" w:rsidP="004B4DE5">
            <w:pPr>
              <w:spacing w:after="0"/>
              <w:ind w:right="-108"/>
              <w:rPr>
                <w:rFonts w:ascii="Arial" w:hAnsi="Arial" w:cs="Arial"/>
                <w:b/>
              </w:rPr>
            </w:pPr>
          </w:p>
        </w:tc>
        <w:tc>
          <w:tcPr>
            <w:tcW w:w="2977" w:type="dxa"/>
            <w:gridSpan w:val="3"/>
            <w:vAlign w:val="bottom"/>
          </w:tcPr>
          <w:p w14:paraId="033F8F35" w14:textId="7EF7A961" w:rsidR="007C0660" w:rsidRDefault="007C0660" w:rsidP="006E2347">
            <w:pPr>
              <w:rPr>
                <w:rFonts w:ascii="Arial" w:hAnsi="Arial" w:cs="Arial"/>
                <w:color w:val="000000"/>
                <w:sz w:val="16"/>
                <w:szCs w:val="16"/>
              </w:rPr>
            </w:pPr>
          </w:p>
        </w:tc>
        <w:tc>
          <w:tcPr>
            <w:tcW w:w="3540" w:type="dxa"/>
            <w:gridSpan w:val="3"/>
            <w:vAlign w:val="bottom"/>
          </w:tcPr>
          <w:p w14:paraId="38659EEC" w14:textId="1F3CEA5D" w:rsidR="007C0660" w:rsidRDefault="007C0660" w:rsidP="006E2347">
            <w:pPr>
              <w:rPr>
                <w:rFonts w:ascii="Arial" w:hAnsi="Arial" w:cs="Arial"/>
                <w:color w:val="000000"/>
                <w:sz w:val="16"/>
                <w:szCs w:val="16"/>
              </w:rPr>
            </w:pPr>
          </w:p>
        </w:tc>
      </w:tr>
      <w:tr w:rsidR="007C0660" w:rsidRPr="004E60A0" w14:paraId="65CE0664" w14:textId="77777777" w:rsidTr="008D5976">
        <w:trPr>
          <w:trHeight w:val="250"/>
        </w:trPr>
        <w:tc>
          <w:tcPr>
            <w:tcW w:w="2723" w:type="dxa"/>
            <w:vMerge/>
            <w:vAlign w:val="center"/>
          </w:tcPr>
          <w:p w14:paraId="548A8A34" w14:textId="77777777" w:rsidR="007C0660" w:rsidRPr="0011106C" w:rsidRDefault="007C0660" w:rsidP="004B4DE5">
            <w:pPr>
              <w:spacing w:after="0"/>
              <w:ind w:right="-108"/>
              <w:rPr>
                <w:rFonts w:ascii="Arial" w:hAnsi="Arial" w:cs="Arial"/>
                <w:b/>
              </w:rPr>
            </w:pPr>
          </w:p>
        </w:tc>
        <w:tc>
          <w:tcPr>
            <w:tcW w:w="2977" w:type="dxa"/>
            <w:gridSpan w:val="3"/>
            <w:vAlign w:val="bottom"/>
          </w:tcPr>
          <w:p w14:paraId="61E4D603" w14:textId="2865858B" w:rsidR="007C0660" w:rsidRDefault="007C0660" w:rsidP="006E2347">
            <w:pPr>
              <w:rPr>
                <w:rFonts w:ascii="Arial" w:hAnsi="Arial" w:cs="Arial"/>
                <w:color w:val="000000"/>
                <w:sz w:val="16"/>
                <w:szCs w:val="16"/>
              </w:rPr>
            </w:pPr>
          </w:p>
        </w:tc>
        <w:tc>
          <w:tcPr>
            <w:tcW w:w="3540" w:type="dxa"/>
            <w:gridSpan w:val="3"/>
            <w:vAlign w:val="bottom"/>
          </w:tcPr>
          <w:p w14:paraId="22F32B3A" w14:textId="7E29E5E5" w:rsidR="007C0660" w:rsidRDefault="007C0660" w:rsidP="006E2347">
            <w:pPr>
              <w:rPr>
                <w:rFonts w:ascii="Arial" w:hAnsi="Arial" w:cs="Arial"/>
                <w:color w:val="000000"/>
                <w:sz w:val="16"/>
                <w:szCs w:val="16"/>
              </w:rPr>
            </w:pPr>
          </w:p>
        </w:tc>
      </w:tr>
      <w:tr w:rsidR="007C0660" w:rsidRPr="004E60A0" w14:paraId="74528003" w14:textId="77777777" w:rsidTr="008D5976">
        <w:trPr>
          <w:trHeight w:val="250"/>
        </w:trPr>
        <w:tc>
          <w:tcPr>
            <w:tcW w:w="2723" w:type="dxa"/>
            <w:vMerge/>
            <w:vAlign w:val="center"/>
          </w:tcPr>
          <w:p w14:paraId="2BD81E9E" w14:textId="77777777" w:rsidR="007C0660" w:rsidRPr="0011106C" w:rsidRDefault="007C0660" w:rsidP="004B4DE5">
            <w:pPr>
              <w:spacing w:after="0"/>
              <w:ind w:right="-108"/>
              <w:rPr>
                <w:rFonts w:ascii="Arial" w:hAnsi="Arial" w:cs="Arial"/>
                <w:b/>
              </w:rPr>
            </w:pPr>
          </w:p>
        </w:tc>
        <w:tc>
          <w:tcPr>
            <w:tcW w:w="2977" w:type="dxa"/>
            <w:gridSpan w:val="3"/>
            <w:vAlign w:val="bottom"/>
          </w:tcPr>
          <w:p w14:paraId="1D1B69A5" w14:textId="58B7BE74" w:rsidR="007C0660" w:rsidRDefault="007C0660" w:rsidP="006E2347">
            <w:pPr>
              <w:rPr>
                <w:rFonts w:ascii="Arial" w:hAnsi="Arial" w:cs="Arial"/>
                <w:color w:val="000000"/>
                <w:sz w:val="16"/>
                <w:szCs w:val="16"/>
              </w:rPr>
            </w:pPr>
          </w:p>
        </w:tc>
        <w:tc>
          <w:tcPr>
            <w:tcW w:w="3540" w:type="dxa"/>
            <w:gridSpan w:val="3"/>
            <w:vAlign w:val="bottom"/>
          </w:tcPr>
          <w:p w14:paraId="3FB0950A" w14:textId="59C0E901" w:rsidR="007C0660" w:rsidRDefault="007C0660" w:rsidP="006E2347">
            <w:pPr>
              <w:rPr>
                <w:rFonts w:ascii="Arial" w:hAnsi="Arial" w:cs="Arial"/>
                <w:color w:val="000000"/>
                <w:sz w:val="16"/>
                <w:szCs w:val="16"/>
              </w:rPr>
            </w:pPr>
          </w:p>
        </w:tc>
      </w:tr>
      <w:tr w:rsidR="007C0660" w:rsidRPr="004E60A0" w14:paraId="150F3BCB" w14:textId="77777777" w:rsidTr="008D5976">
        <w:trPr>
          <w:trHeight w:val="250"/>
        </w:trPr>
        <w:tc>
          <w:tcPr>
            <w:tcW w:w="2723" w:type="dxa"/>
            <w:vMerge/>
            <w:vAlign w:val="center"/>
          </w:tcPr>
          <w:p w14:paraId="1C05FC10" w14:textId="77777777" w:rsidR="007C0660" w:rsidRPr="0011106C" w:rsidRDefault="007C0660" w:rsidP="004B4DE5">
            <w:pPr>
              <w:spacing w:after="0"/>
              <w:ind w:right="-108"/>
              <w:rPr>
                <w:rFonts w:ascii="Arial" w:hAnsi="Arial" w:cs="Arial"/>
                <w:b/>
              </w:rPr>
            </w:pPr>
          </w:p>
        </w:tc>
        <w:tc>
          <w:tcPr>
            <w:tcW w:w="2977" w:type="dxa"/>
            <w:gridSpan w:val="3"/>
            <w:vAlign w:val="bottom"/>
          </w:tcPr>
          <w:p w14:paraId="2CA3A6CA" w14:textId="037A0BDC" w:rsidR="007C0660" w:rsidRDefault="007C0660" w:rsidP="006E2347">
            <w:pPr>
              <w:rPr>
                <w:rFonts w:ascii="Arial" w:hAnsi="Arial" w:cs="Arial"/>
                <w:color w:val="000000"/>
                <w:sz w:val="16"/>
                <w:szCs w:val="16"/>
              </w:rPr>
            </w:pPr>
          </w:p>
        </w:tc>
        <w:tc>
          <w:tcPr>
            <w:tcW w:w="3540" w:type="dxa"/>
            <w:gridSpan w:val="3"/>
            <w:vAlign w:val="bottom"/>
          </w:tcPr>
          <w:p w14:paraId="1D4256F8" w14:textId="1C1241FB" w:rsidR="007C0660" w:rsidRDefault="007C0660" w:rsidP="006E2347">
            <w:pPr>
              <w:rPr>
                <w:rFonts w:ascii="Arial" w:hAnsi="Arial" w:cs="Arial"/>
                <w:color w:val="000000"/>
                <w:sz w:val="16"/>
                <w:szCs w:val="16"/>
              </w:rPr>
            </w:pPr>
          </w:p>
        </w:tc>
      </w:tr>
      <w:tr w:rsidR="007C0660" w:rsidRPr="004E60A0" w14:paraId="732B4F8F" w14:textId="77777777" w:rsidTr="008D5976">
        <w:trPr>
          <w:trHeight w:val="250"/>
        </w:trPr>
        <w:tc>
          <w:tcPr>
            <w:tcW w:w="2723" w:type="dxa"/>
            <w:vMerge/>
            <w:vAlign w:val="center"/>
          </w:tcPr>
          <w:p w14:paraId="04758A1B" w14:textId="77777777" w:rsidR="007C0660" w:rsidRPr="0011106C" w:rsidRDefault="007C0660" w:rsidP="004B4DE5">
            <w:pPr>
              <w:spacing w:after="0"/>
              <w:ind w:right="-108"/>
              <w:rPr>
                <w:rFonts w:ascii="Arial" w:hAnsi="Arial" w:cs="Arial"/>
                <w:b/>
              </w:rPr>
            </w:pPr>
          </w:p>
        </w:tc>
        <w:tc>
          <w:tcPr>
            <w:tcW w:w="2977" w:type="dxa"/>
            <w:gridSpan w:val="3"/>
            <w:vAlign w:val="bottom"/>
          </w:tcPr>
          <w:p w14:paraId="2C3FD97E" w14:textId="4BF59D81" w:rsidR="007C0660" w:rsidRDefault="007C0660" w:rsidP="006E2347">
            <w:pPr>
              <w:rPr>
                <w:rFonts w:ascii="Arial" w:hAnsi="Arial" w:cs="Arial"/>
                <w:color w:val="000000"/>
                <w:sz w:val="16"/>
                <w:szCs w:val="16"/>
              </w:rPr>
            </w:pPr>
          </w:p>
        </w:tc>
        <w:tc>
          <w:tcPr>
            <w:tcW w:w="3540" w:type="dxa"/>
            <w:gridSpan w:val="3"/>
            <w:vAlign w:val="bottom"/>
          </w:tcPr>
          <w:p w14:paraId="28878CA5" w14:textId="7C25A9F2" w:rsidR="007C0660" w:rsidRDefault="007C0660" w:rsidP="006E2347">
            <w:pPr>
              <w:rPr>
                <w:rFonts w:ascii="Arial" w:hAnsi="Arial" w:cs="Arial"/>
                <w:color w:val="000000"/>
                <w:sz w:val="16"/>
                <w:szCs w:val="16"/>
              </w:rPr>
            </w:pPr>
          </w:p>
        </w:tc>
      </w:tr>
      <w:tr w:rsidR="007C0660" w:rsidRPr="004E60A0" w14:paraId="1B9A4850" w14:textId="77777777" w:rsidTr="008D5976">
        <w:trPr>
          <w:trHeight w:val="250"/>
        </w:trPr>
        <w:tc>
          <w:tcPr>
            <w:tcW w:w="2723" w:type="dxa"/>
            <w:vMerge/>
            <w:vAlign w:val="center"/>
          </w:tcPr>
          <w:p w14:paraId="5F9814F0" w14:textId="77777777" w:rsidR="007C0660" w:rsidRPr="0011106C" w:rsidRDefault="007C0660" w:rsidP="004B4DE5">
            <w:pPr>
              <w:spacing w:after="0"/>
              <w:ind w:right="-108"/>
              <w:rPr>
                <w:rFonts w:ascii="Arial" w:hAnsi="Arial" w:cs="Arial"/>
                <w:b/>
              </w:rPr>
            </w:pPr>
          </w:p>
        </w:tc>
        <w:tc>
          <w:tcPr>
            <w:tcW w:w="2977" w:type="dxa"/>
            <w:gridSpan w:val="3"/>
            <w:vAlign w:val="bottom"/>
          </w:tcPr>
          <w:p w14:paraId="68681BEB" w14:textId="56515E60" w:rsidR="007C0660" w:rsidRDefault="007C0660" w:rsidP="006E2347">
            <w:pPr>
              <w:rPr>
                <w:rFonts w:ascii="Arial" w:hAnsi="Arial" w:cs="Arial"/>
                <w:color w:val="000000"/>
                <w:sz w:val="16"/>
                <w:szCs w:val="16"/>
              </w:rPr>
            </w:pPr>
          </w:p>
        </w:tc>
        <w:tc>
          <w:tcPr>
            <w:tcW w:w="3540" w:type="dxa"/>
            <w:gridSpan w:val="3"/>
            <w:vAlign w:val="bottom"/>
          </w:tcPr>
          <w:p w14:paraId="7D03F350" w14:textId="28A8299E" w:rsidR="007C0660" w:rsidRDefault="007C0660" w:rsidP="006E2347">
            <w:pPr>
              <w:rPr>
                <w:rFonts w:ascii="Arial" w:hAnsi="Arial" w:cs="Arial"/>
                <w:color w:val="000000"/>
                <w:sz w:val="16"/>
                <w:szCs w:val="16"/>
              </w:rPr>
            </w:pPr>
          </w:p>
        </w:tc>
      </w:tr>
      <w:tr w:rsidR="007C0660" w:rsidRPr="004E60A0" w14:paraId="2E77246B" w14:textId="77777777" w:rsidTr="008D5976">
        <w:trPr>
          <w:trHeight w:val="214"/>
        </w:trPr>
        <w:tc>
          <w:tcPr>
            <w:tcW w:w="2723" w:type="dxa"/>
            <w:vMerge/>
            <w:vAlign w:val="center"/>
          </w:tcPr>
          <w:p w14:paraId="08D4EF78" w14:textId="77777777" w:rsidR="007C0660" w:rsidRPr="0011106C" w:rsidRDefault="007C0660" w:rsidP="004B4DE5">
            <w:pPr>
              <w:spacing w:after="0"/>
              <w:ind w:right="-108"/>
              <w:rPr>
                <w:rFonts w:ascii="Arial" w:hAnsi="Arial" w:cs="Arial"/>
                <w:b/>
              </w:rPr>
            </w:pPr>
          </w:p>
        </w:tc>
        <w:tc>
          <w:tcPr>
            <w:tcW w:w="2977" w:type="dxa"/>
            <w:gridSpan w:val="3"/>
            <w:vAlign w:val="bottom"/>
          </w:tcPr>
          <w:p w14:paraId="6BF3903B" w14:textId="7A4C0BFE" w:rsidR="007C0660" w:rsidRDefault="007C0660" w:rsidP="006E2347">
            <w:pPr>
              <w:rPr>
                <w:rFonts w:ascii="Arial" w:hAnsi="Arial" w:cs="Arial"/>
                <w:color w:val="000000"/>
                <w:sz w:val="16"/>
                <w:szCs w:val="16"/>
              </w:rPr>
            </w:pPr>
          </w:p>
        </w:tc>
        <w:tc>
          <w:tcPr>
            <w:tcW w:w="3540" w:type="dxa"/>
            <w:gridSpan w:val="3"/>
            <w:vAlign w:val="bottom"/>
          </w:tcPr>
          <w:p w14:paraId="79F105C4" w14:textId="0A9E69C3" w:rsidR="007C0660" w:rsidRDefault="007C0660" w:rsidP="006E2347">
            <w:pPr>
              <w:rPr>
                <w:rFonts w:ascii="Arial" w:hAnsi="Arial" w:cs="Arial"/>
                <w:color w:val="000000"/>
                <w:sz w:val="16"/>
                <w:szCs w:val="16"/>
              </w:rPr>
            </w:pPr>
          </w:p>
        </w:tc>
      </w:tr>
      <w:tr w:rsidR="007C0660" w:rsidRPr="004E60A0" w14:paraId="63E260C4" w14:textId="77777777" w:rsidTr="008D5976">
        <w:trPr>
          <w:trHeight w:val="258"/>
        </w:trPr>
        <w:tc>
          <w:tcPr>
            <w:tcW w:w="2723" w:type="dxa"/>
            <w:vMerge/>
            <w:vAlign w:val="center"/>
          </w:tcPr>
          <w:p w14:paraId="2BBCEC39" w14:textId="77777777" w:rsidR="007C0660" w:rsidRPr="0011106C" w:rsidRDefault="007C0660" w:rsidP="004B4DE5">
            <w:pPr>
              <w:spacing w:after="0"/>
              <w:ind w:right="-108"/>
              <w:rPr>
                <w:rFonts w:ascii="Arial" w:hAnsi="Arial" w:cs="Arial"/>
                <w:b/>
              </w:rPr>
            </w:pPr>
          </w:p>
        </w:tc>
        <w:tc>
          <w:tcPr>
            <w:tcW w:w="2977" w:type="dxa"/>
            <w:gridSpan w:val="3"/>
            <w:vAlign w:val="bottom"/>
          </w:tcPr>
          <w:p w14:paraId="09BF07E6" w14:textId="6F3E944F" w:rsidR="007C0660" w:rsidRDefault="007C0660" w:rsidP="006E2347">
            <w:pPr>
              <w:rPr>
                <w:rFonts w:ascii="Arial" w:hAnsi="Arial" w:cs="Arial"/>
                <w:color w:val="000000"/>
                <w:sz w:val="16"/>
                <w:szCs w:val="16"/>
              </w:rPr>
            </w:pPr>
          </w:p>
        </w:tc>
        <w:tc>
          <w:tcPr>
            <w:tcW w:w="3540" w:type="dxa"/>
            <w:gridSpan w:val="3"/>
            <w:vAlign w:val="bottom"/>
          </w:tcPr>
          <w:p w14:paraId="009EB715" w14:textId="52750B47" w:rsidR="007C0660" w:rsidRDefault="007C0660" w:rsidP="006E2347">
            <w:pPr>
              <w:rPr>
                <w:rFonts w:ascii="Arial" w:hAnsi="Arial" w:cs="Arial"/>
                <w:color w:val="000000"/>
                <w:sz w:val="16"/>
                <w:szCs w:val="16"/>
              </w:rPr>
            </w:pPr>
          </w:p>
        </w:tc>
      </w:tr>
      <w:tr w:rsidR="007C0660" w:rsidRPr="004E60A0" w14:paraId="1D182C52" w14:textId="77777777" w:rsidTr="008D5976">
        <w:trPr>
          <w:trHeight w:val="277"/>
        </w:trPr>
        <w:tc>
          <w:tcPr>
            <w:tcW w:w="2723" w:type="dxa"/>
            <w:vMerge/>
            <w:vAlign w:val="center"/>
          </w:tcPr>
          <w:p w14:paraId="7EA72B9F" w14:textId="77777777" w:rsidR="007C0660" w:rsidRPr="0011106C" w:rsidRDefault="007C0660" w:rsidP="004B4DE5">
            <w:pPr>
              <w:spacing w:after="0"/>
              <w:ind w:right="-108"/>
              <w:rPr>
                <w:rFonts w:ascii="Arial" w:hAnsi="Arial" w:cs="Arial"/>
                <w:b/>
              </w:rPr>
            </w:pPr>
          </w:p>
        </w:tc>
        <w:tc>
          <w:tcPr>
            <w:tcW w:w="2977" w:type="dxa"/>
            <w:gridSpan w:val="3"/>
            <w:vAlign w:val="bottom"/>
          </w:tcPr>
          <w:p w14:paraId="6E41780F" w14:textId="15B0B7AC" w:rsidR="007C0660" w:rsidRDefault="007C0660" w:rsidP="006E2347">
            <w:pPr>
              <w:rPr>
                <w:rFonts w:ascii="Arial" w:hAnsi="Arial" w:cs="Arial"/>
                <w:color w:val="000000"/>
                <w:sz w:val="16"/>
                <w:szCs w:val="16"/>
              </w:rPr>
            </w:pPr>
          </w:p>
        </w:tc>
        <w:tc>
          <w:tcPr>
            <w:tcW w:w="3540" w:type="dxa"/>
            <w:gridSpan w:val="3"/>
            <w:vAlign w:val="bottom"/>
          </w:tcPr>
          <w:p w14:paraId="60A7B6AE" w14:textId="4ECC7BA8" w:rsidR="007C0660" w:rsidRDefault="007C0660" w:rsidP="006E2347">
            <w:pPr>
              <w:rPr>
                <w:rFonts w:ascii="Arial" w:hAnsi="Arial" w:cs="Arial"/>
                <w:color w:val="000000"/>
                <w:sz w:val="16"/>
                <w:szCs w:val="16"/>
              </w:rPr>
            </w:pPr>
          </w:p>
        </w:tc>
      </w:tr>
      <w:tr w:rsidR="007C0660" w:rsidRPr="004E60A0" w14:paraId="2C7D1726" w14:textId="77777777" w:rsidTr="008D5976">
        <w:trPr>
          <w:trHeight w:val="124"/>
        </w:trPr>
        <w:tc>
          <w:tcPr>
            <w:tcW w:w="2723" w:type="dxa"/>
            <w:vMerge/>
            <w:vAlign w:val="center"/>
          </w:tcPr>
          <w:p w14:paraId="436909F9" w14:textId="77777777" w:rsidR="007C0660" w:rsidRPr="0011106C" w:rsidRDefault="007C0660" w:rsidP="004B4DE5">
            <w:pPr>
              <w:spacing w:after="0"/>
              <w:ind w:right="-108"/>
              <w:rPr>
                <w:rFonts w:ascii="Arial" w:hAnsi="Arial" w:cs="Arial"/>
                <w:b/>
              </w:rPr>
            </w:pPr>
          </w:p>
        </w:tc>
        <w:tc>
          <w:tcPr>
            <w:tcW w:w="2977" w:type="dxa"/>
            <w:gridSpan w:val="3"/>
            <w:vAlign w:val="bottom"/>
          </w:tcPr>
          <w:p w14:paraId="2FB07A89" w14:textId="36D3E957" w:rsidR="007C0660" w:rsidRDefault="007C0660" w:rsidP="006E2347">
            <w:pPr>
              <w:rPr>
                <w:rFonts w:ascii="Arial" w:hAnsi="Arial" w:cs="Arial"/>
                <w:color w:val="000000"/>
                <w:sz w:val="16"/>
                <w:szCs w:val="16"/>
              </w:rPr>
            </w:pPr>
          </w:p>
        </w:tc>
        <w:tc>
          <w:tcPr>
            <w:tcW w:w="3540" w:type="dxa"/>
            <w:gridSpan w:val="3"/>
            <w:vAlign w:val="bottom"/>
          </w:tcPr>
          <w:p w14:paraId="2059B4E2" w14:textId="3782FA95" w:rsidR="007C0660" w:rsidRDefault="007C0660" w:rsidP="006E2347">
            <w:pPr>
              <w:rPr>
                <w:rFonts w:ascii="Arial" w:hAnsi="Arial" w:cs="Arial"/>
                <w:color w:val="000000"/>
                <w:sz w:val="16"/>
                <w:szCs w:val="16"/>
              </w:rPr>
            </w:pPr>
          </w:p>
        </w:tc>
      </w:tr>
      <w:tr w:rsidR="007C0660" w:rsidRPr="004E60A0" w14:paraId="2F203DD6" w14:textId="77777777" w:rsidTr="008D5976">
        <w:trPr>
          <w:trHeight w:val="285"/>
        </w:trPr>
        <w:tc>
          <w:tcPr>
            <w:tcW w:w="2723" w:type="dxa"/>
            <w:vMerge/>
            <w:vAlign w:val="center"/>
          </w:tcPr>
          <w:p w14:paraId="55EDC680" w14:textId="77777777" w:rsidR="007C0660" w:rsidRPr="0011106C" w:rsidRDefault="007C0660" w:rsidP="004B4DE5">
            <w:pPr>
              <w:spacing w:after="0"/>
              <w:ind w:right="-108"/>
              <w:rPr>
                <w:rFonts w:ascii="Arial" w:hAnsi="Arial" w:cs="Arial"/>
                <w:b/>
              </w:rPr>
            </w:pPr>
          </w:p>
        </w:tc>
        <w:tc>
          <w:tcPr>
            <w:tcW w:w="2977" w:type="dxa"/>
            <w:gridSpan w:val="3"/>
            <w:vAlign w:val="bottom"/>
          </w:tcPr>
          <w:p w14:paraId="1DE4F119" w14:textId="2139B39D" w:rsidR="007C0660" w:rsidRDefault="007C0660" w:rsidP="006E2347">
            <w:pPr>
              <w:rPr>
                <w:rFonts w:ascii="Arial" w:hAnsi="Arial" w:cs="Arial"/>
                <w:color w:val="000000"/>
                <w:sz w:val="16"/>
                <w:szCs w:val="16"/>
              </w:rPr>
            </w:pPr>
          </w:p>
        </w:tc>
        <w:tc>
          <w:tcPr>
            <w:tcW w:w="3540" w:type="dxa"/>
            <w:gridSpan w:val="3"/>
            <w:vAlign w:val="bottom"/>
          </w:tcPr>
          <w:p w14:paraId="73020254" w14:textId="7AAB85D2" w:rsidR="007C0660" w:rsidRDefault="007C0660" w:rsidP="006E2347">
            <w:pPr>
              <w:rPr>
                <w:rFonts w:ascii="Arial" w:hAnsi="Arial" w:cs="Arial"/>
                <w:color w:val="000000"/>
                <w:sz w:val="16"/>
                <w:szCs w:val="16"/>
              </w:rPr>
            </w:pPr>
          </w:p>
        </w:tc>
      </w:tr>
      <w:tr w:rsidR="007C0660" w:rsidRPr="004E60A0" w14:paraId="4A28A323" w14:textId="77777777" w:rsidTr="008D5976">
        <w:trPr>
          <w:trHeight w:val="274"/>
        </w:trPr>
        <w:tc>
          <w:tcPr>
            <w:tcW w:w="2723" w:type="dxa"/>
            <w:vMerge/>
            <w:vAlign w:val="center"/>
          </w:tcPr>
          <w:p w14:paraId="02F1152F" w14:textId="77777777" w:rsidR="007C0660" w:rsidRPr="0011106C" w:rsidRDefault="007C0660" w:rsidP="004B4DE5">
            <w:pPr>
              <w:spacing w:after="0"/>
              <w:ind w:right="-108"/>
              <w:rPr>
                <w:rFonts w:ascii="Arial" w:hAnsi="Arial" w:cs="Arial"/>
                <w:b/>
              </w:rPr>
            </w:pPr>
          </w:p>
        </w:tc>
        <w:tc>
          <w:tcPr>
            <w:tcW w:w="2977" w:type="dxa"/>
            <w:gridSpan w:val="3"/>
            <w:vAlign w:val="bottom"/>
          </w:tcPr>
          <w:p w14:paraId="75C668C3" w14:textId="18A9DE9A" w:rsidR="007C0660" w:rsidRDefault="007C0660" w:rsidP="006E2347">
            <w:pPr>
              <w:rPr>
                <w:rFonts w:ascii="Arial" w:hAnsi="Arial" w:cs="Arial"/>
                <w:color w:val="000000"/>
                <w:sz w:val="16"/>
                <w:szCs w:val="16"/>
              </w:rPr>
            </w:pPr>
          </w:p>
        </w:tc>
        <w:tc>
          <w:tcPr>
            <w:tcW w:w="3540" w:type="dxa"/>
            <w:gridSpan w:val="3"/>
            <w:vAlign w:val="bottom"/>
          </w:tcPr>
          <w:p w14:paraId="57AE05FD" w14:textId="3DAC5E49" w:rsidR="007C0660" w:rsidRDefault="007C0660" w:rsidP="006E2347">
            <w:pPr>
              <w:rPr>
                <w:rFonts w:ascii="Arial" w:hAnsi="Arial" w:cs="Arial"/>
                <w:color w:val="000000"/>
                <w:sz w:val="16"/>
                <w:szCs w:val="16"/>
              </w:rPr>
            </w:pPr>
          </w:p>
        </w:tc>
      </w:tr>
      <w:tr w:rsidR="007C0660" w:rsidRPr="004E60A0" w14:paraId="6FF0864B" w14:textId="77777777" w:rsidTr="008D5976">
        <w:trPr>
          <w:trHeight w:val="265"/>
        </w:trPr>
        <w:tc>
          <w:tcPr>
            <w:tcW w:w="2723" w:type="dxa"/>
            <w:vMerge/>
            <w:vAlign w:val="center"/>
          </w:tcPr>
          <w:p w14:paraId="14074298" w14:textId="77777777" w:rsidR="007C0660" w:rsidRPr="0011106C" w:rsidRDefault="007C0660" w:rsidP="004B4DE5">
            <w:pPr>
              <w:spacing w:after="0"/>
              <w:ind w:right="-108"/>
              <w:rPr>
                <w:rFonts w:ascii="Arial" w:hAnsi="Arial" w:cs="Arial"/>
                <w:b/>
              </w:rPr>
            </w:pPr>
          </w:p>
        </w:tc>
        <w:tc>
          <w:tcPr>
            <w:tcW w:w="2977" w:type="dxa"/>
            <w:gridSpan w:val="3"/>
            <w:vAlign w:val="bottom"/>
          </w:tcPr>
          <w:p w14:paraId="759282A1" w14:textId="332A2906" w:rsidR="007C0660" w:rsidRDefault="007C0660" w:rsidP="006E2347">
            <w:pPr>
              <w:rPr>
                <w:rFonts w:ascii="Arial" w:hAnsi="Arial" w:cs="Arial"/>
                <w:color w:val="000000"/>
                <w:sz w:val="16"/>
                <w:szCs w:val="16"/>
              </w:rPr>
            </w:pPr>
          </w:p>
        </w:tc>
        <w:tc>
          <w:tcPr>
            <w:tcW w:w="3540" w:type="dxa"/>
            <w:gridSpan w:val="3"/>
            <w:vAlign w:val="bottom"/>
          </w:tcPr>
          <w:p w14:paraId="10AA4A49" w14:textId="47CD89BE" w:rsidR="007C0660" w:rsidRDefault="007C0660" w:rsidP="006E2347">
            <w:pPr>
              <w:rPr>
                <w:rFonts w:ascii="Arial" w:hAnsi="Arial" w:cs="Arial"/>
                <w:color w:val="000000"/>
                <w:sz w:val="16"/>
                <w:szCs w:val="16"/>
              </w:rPr>
            </w:pPr>
          </w:p>
        </w:tc>
      </w:tr>
      <w:tr w:rsidR="007C0660" w:rsidRPr="004E60A0" w14:paraId="680E5E15" w14:textId="77777777" w:rsidTr="008D5976">
        <w:trPr>
          <w:trHeight w:val="265"/>
        </w:trPr>
        <w:tc>
          <w:tcPr>
            <w:tcW w:w="2723" w:type="dxa"/>
            <w:vMerge/>
            <w:vAlign w:val="center"/>
          </w:tcPr>
          <w:p w14:paraId="795CD8CA" w14:textId="77777777" w:rsidR="007C0660" w:rsidRPr="0011106C" w:rsidRDefault="007C0660" w:rsidP="004B4DE5">
            <w:pPr>
              <w:spacing w:after="0"/>
              <w:ind w:right="-108"/>
              <w:rPr>
                <w:rFonts w:ascii="Arial" w:hAnsi="Arial" w:cs="Arial"/>
                <w:b/>
              </w:rPr>
            </w:pPr>
          </w:p>
        </w:tc>
        <w:tc>
          <w:tcPr>
            <w:tcW w:w="2977" w:type="dxa"/>
            <w:gridSpan w:val="3"/>
            <w:vAlign w:val="bottom"/>
          </w:tcPr>
          <w:p w14:paraId="79F5ACCC" w14:textId="595F2B5B" w:rsidR="007C0660" w:rsidRDefault="007C0660" w:rsidP="006E2347">
            <w:pPr>
              <w:rPr>
                <w:rFonts w:ascii="Arial" w:hAnsi="Arial" w:cs="Arial"/>
                <w:color w:val="000000"/>
                <w:sz w:val="16"/>
                <w:szCs w:val="16"/>
              </w:rPr>
            </w:pPr>
          </w:p>
        </w:tc>
        <w:tc>
          <w:tcPr>
            <w:tcW w:w="3540" w:type="dxa"/>
            <w:gridSpan w:val="3"/>
          </w:tcPr>
          <w:p w14:paraId="60F31235" w14:textId="73748D57" w:rsidR="007C0660" w:rsidRPr="00555FC0" w:rsidRDefault="007C0660" w:rsidP="006E2347">
            <w:pPr>
              <w:spacing w:after="0" w:line="240" w:lineRule="auto"/>
              <w:rPr>
                <w:rFonts w:ascii="Arial" w:hAnsi="Arial" w:cs="Arial"/>
                <w:sz w:val="18"/>
                <w:szCs w:val="18"/>
              </w:rPr>
            </w:pPr>
          </w:p>
        </w:tc>
      </w:tr>
      <w:tr w:rsidR="007C0660" w:rsidRPr="004E60A0" w14:paraId="62A96392" w14:textId="77777777" w:rsidTr="008D5976">
        <w:trPr>
          <w:trHeight w:val="227"/>
        </w:trPr>
        <w:tc>
          <w:tcPr>
            <w:tcW w:w="2723" w:type="dxa"/>
            <w:vMerge/>
            <w:vAlign w:val="center"/>
          </w:tcPr>
          <w:p w14:paraId="0A3C3BE0" w14:textId="77777777" w:rsidR="007C0660" w:rsidRPr="0011106C" w:rsidRDefault="007C0660" w:rsidP="004B4DE5">
            <w:pPr>
              <w:spacing w:after="0"/>
              <w:ind w:right="-108"/>
              <w:rPr>
                <w:rFonts w:ascii="Arial" w:hAnsi="Arial" w:cs="Arial"/>
                <w:b/>
              </w:rPr>
            </w:pPr>
          </w:p>
        </w:tc>
        <w:tc>
          <w:tcPr>
            <w:tcW w:w="2977" w:type="dxa"/>
            <w:gridSpan w:val="3"/>
            <w:vAlign w:val="bottom"/>
          </w:tcPr>
          <w:p w14:paraId="43D1B799" w14:textId="65521C5D" w:rsidR="007C0660" w:rsidRDefault="007C0660" w:rsidP="006E2347">
            <w:pPr>
              <w:rPr>
                <w:rFonts w:ascii="Arial" w:hAnsi="Arial" w:cs="Arial"/>
                <w:color w:val="000000"/>
                <w:sz w:val="16"/>
                <w:szCs w:val="16"/>
              </w:rPr>
            </w:pPr>
          </w:p>
        </w:tc>
        <w:tc>
          <w:tcPr>
            <w:tcW w:w="3540" w:type="dxa"/>
            <w:gridSpan w:val="3"/>
          </w:tcPr>
          <w:p w14:paraId="5F7D3D66" w14:textId="330F1980" w:rsidR="007C0660" w:rsidRPr="00555FC0" w:rsidRDefault="007C0660" w:rsidP="006E2347">
            <w:pPr>
              <w:spacing w:after="0" w:line="240" w:lineRule="auto"/>
              <w:rPr>
                <w:rFonts w:ascii="Arial" w:hAnsi="Arial" w:cs="Arial"/>
                <w:sz w:val="18"/>
                <w:szCs w:val="18"/>
              </w:rPr>
            </w:pPr>
          </w:p>
        </w:tc>
      </w:tr>
      <w:tr w:rsidR="007C0660" w:rsidRPr="0011106C" w14:paraId="62B89F25" w14:textId="77777777" w:rsidTr="004B4DE5">
        <w:tc>
          <w:tcPr>
            <w:tcW w:w="2723" w:type="dxa"/>
            <w:shd w:val="clear" w:color="auto" w:fill="F2F2F2" w:themeFill="background1" w:themeFillShade="F2"/>
            <w:vAlign w:val="center"/>
          </w:tcPr>
          <w:p w14:paraId="175DB900" w14:textId="77777777" w:rsidR="007C0660" w:rsidRPr="0011106C" w:rsidRDefault="007C0660" w:rsidP="004B4DE5">
            <w:pPr>
              <w:spacing w:after="0"/>
              <w:ind w:left="-74" w:right="-179"/>
              <w:rPr>
                <w:rFonts w:ascii="Arial" w:hAnsi="Arial" w:cs="Arial"/>
                <w:b/>
              </w:rPr>
            </w:pPr>
            <w:r w:rsidRPr="0011106C">
              <w:rPr>
                <w:rFonts w:ascii="Arial" w:hAnsi="Arial" w:cs="Arial"/>
                <w:b/>
              </w:rPr>
              <w:t xml:space="preserve">  LUGAR DE LA PRÁCTICA</w:t>
            </w:r>
          </w:p>
        </w:tc>
        <w:tc>
          <w:tcPr>
            <w:tcW w:w="6517" w:type="dxa"/>
            <w:gridSpan w:val="6"/>
          </w:tcPr>
          <w:p w14:paraId="018EEA21" w14:textId="6C552E74" w:rsidR="007C0660" w:rsidRPr="0011106C" w:rsidRDefault="001811EB" w:rsidP="004B4DE5">
            <w:pPr>
              <w:spacing w:after="0"/>
              <w:rPr>
                <w:rFonts w:ascii="Arial" w:hAnsi="Arial" w:cs="Arial"/>
              </w:rPr>
            </w:pPr>
            <w:r>
              <w:rPr>
                <w:rFonts w:ascii="Arial" w:hAnsi="Arial" w:cs="Arial"/>
              </w:rPr>
              <w:t>LAB E302</w:t>
            </w:r>
          </w:p>
        </w:tc>
      </w:tr>
      <w:tr w:rsidR="007C0660" w:rsidRPr="0011106C" w14:paraId="35537EA2" w14:textId="77777777" w:rsidTr="004B4DE5">
        <w:tc>
          <w:tcPr>
            <w:tcW w:w="2723" w:type="dxa"/>
            <w:vAlign w:val="center"/>
          </w:tcPr>
          <w:p w14:paraId="5FBE4042" w14:textId="77777777" w:rsidR="007C0660" w:rsidRPr="0011106C" w:rsidRDefault="007C0660" w:rsidP="004B4DE5">
            <w:pPr>
              <w:spacing w:after="0"/>
              <w:rPr>
                <w:rFonts w:ascii="Arial" w:hAnsi="Arial" w:cs="Arial"/>
                <w:b/>
              </w:rPr>
            </w:pPr>
            <w:r w:rsidRPr="0011106C">
              <w:rPr>
                <w:rFonts w:ascii="Arial" w:hAnsi="Arial" w:cs="Arial"/>
                <w:b/>
              </w:rPr>
              <w:t>TÍTULO DE LA UNIDAD</w:t>
            </w:r>
          </w:p>
        </w:tc>
        <w:tc>
          <w:tcPr>
            <w:tcW w:w="6517" w:type="dxa"/>
            <w:gridSpan w:val="6"/>
          </w:tcPr>
          <w:p w14:paraId="20B405E9" w14:textId="1780AE82" w:rsidR="007C0660" w:rsidRPr="0011106C" w:rsidRDefault="001811EB" w:rsidP="004B4DE5">
            <w:pPr>
              <w:autoSpaceDE w:val="0"/>
              <w:autoSpaceDN w:val="0"/>
              <w:adjustRightInd w:val="0"/>
              <w:spacing w:after="0" w:line="240" w:lineRule="auto"/>
              <w:rPr>
                <w:rFonts w:ascii="Arial" w:hAnsi="Arial" w:cs="Arial"/>
                <w:color w:val="000000"/>
                <w:lang w:val="es-ES"/>
              </w:rPr>
            </w:pPr>
            <w:r w:rsidRPr="001811EB">
              <w:rPr>
                <w:rFonts w:ascii="Arial" w:hAnsi="Arial" w:cs="Arial"/>
                <w:color w:val="000000"/>
                <w:lang w:val="es-ES"/>
              </w:rPr>
              <w:t>Examen microbiológico del Líquido cefalorraquídeo</w:t>
            </w:r>
          </w:p>
        </w:tc>
      </w:tr>
      <w:tr w:rsidR="007C0660" w:rsidRPr="0011106C" w14:paraId="44E0792E" w14:textId="77777777" w:rsidTr="004B4DE5">
        <w:tc>
          <w:tcPr>
            <w:tcW w:w="2723" w:type="dxa"/>
            <w:shd w:val="clear" w:color="auto" w:fill="F2F2F2" w:themeFill="background1" w:themeFillShade="F2"/>
            <w:vAlign w:val="center"/>
          </w:tcPr>
          <w:p w14:paraId="5F2DCF29" w14:textId="77777777" w:rsidR="007C0660" w:rsidRPr="0011106C" w:rsidRDefault="007C0660" w:rsidP="004B4DE5">
            <w:pPr>
              <w:spacing w:after="0"/>
              <w:rPr>
                <w:rFonts w:ascii="Arial" w:hAnsi="Arial" w:cs="Arial"/>
                <w:b/>
              </w:rPr>
            </w:pPr>
            <w:r w:rsidRPr="0011106C">
              <w:rPr>
                <w:rFonts w:ascii="Arial" w:hAnsi="Arial" w:cs="Arial"/>
                <w:b/>
              </w:rPr>
              <w:t>TEMA DE LA PRÁCTICA</w:t>
            </w:r>
          </w:p>
        </w:tc>
        <w:tc>
          <w:tcPr>
            <w:tcW w:w="6517" w:type="dxa"/>
            <w:gridSpan w:val="6"/>
            <w:vAlign w:val="center"/>
          </w:tcPr>
          <w:p w14:paraId="7B714E94" w14:textId="1B9AE879" w:rsidR="007C0660" w:rsidRPr="0011106C" w:rsidRDefault="001811EB" w:rsidP="004B4DE5">
            <w:pPr>
              <w:autoSpaceDE w:val="0"/>
              <w:autoSpaceDN w:val="0"/>
              <w:adjustRightInd w:val="0"/>
              <w:spacing w:after="0" w:line="240" w:lineRule="auto"/>
              <w:rPr>
                <w:rFonts w:ascii="Arial" w:hAnsi="Arial" w:cs="Arial"/>
                <w:color w:val="000000"/>
                <w:lang w:val="es-ES"/>
              </w:rPr>
            </w:pPr>
            <w:r w:rsidRPr="001811EB">
              <w:rPr>
                <w:rFonts w:ascii="Arial" w:hAnsi="Arial" w:cs="Arial"/>
                <w:color w:val="000000"/>
                <w:lang w:val="es-ES"/>
              </w:rPr>
              <w:t>Líquido cefalorraquídeo</w:t>
            </w:r>
            <w:r w:rsidR="003F1BF0">
              <w:rPr>
                <w:rFonts w:ascii="Arial" w:hAnsi="Arial" w:cs="Arial"/>
                <w:color w:val="000000"/>
                <w:lang w:val="es-ES"/>
              </w:rPr>
              <w:t xml:space="preserve"> (PRIMERA PARTE)</w:t>
            </w:r>
          </w:p>
        </w:tc>
      </w:tr>
      <w:tr w:rsidR="007C0660" w:rsidRPr="0011106C" w14:paraId="71F99234" w14:textId="77777777" w:rsidTr="004B4DE5">
        <w:tc>
          <w:tcPr>
            <w:tcW w:w="9240" w:type="dxa"/>
            <w:gridSpan w:val="7"/>
            <w:vAlign w:val="center"/>
          </w:tcPr>
          <w:p w14:paraId="7295A576" w14:textId="77777777" w:rsidR="007C0660" w:rsidRPr="0011106C" w:rsidRDefault="007C0660" w:rsidP="004B4DE5">
            <w:pPr>
              <w:spacing w:after="0"/>
              <w:jc w:val="both"/>
              <w:rPr>
                <w:rFonts w:ascii="Arial" w:hAnsi="Arial" w:cs="Arial"/>
                <w:b/>
              </w:rPr>
            </w:pPr>
            <w:r w:rsidRPr="0011106C">
              <w:rPr>
                <w:rFonts w:ascii="Arial" w:hAnsi="Arial" w:cs="Arial"/>
                <w:b/>
              </w:rPr>
              <w:t>RESULTADO DE APRENDIZAJE.</w:t>
            </w:r>
          </w:p>
        </w:tc>
      </w:tr>
      <w:tr w:rsidR="007C0660" w:rsidRPr="0011106C" w14:paraId="3491BF0D" w14:textId="77777777" w:rsidTr="004B4DE5">
        <w:trPr>
          <w:trHeight w:val="501"/>
        </w:trPr>
        <w:tc>
          <w:tcPr>
            <w:tcW w:w="9240" w:type="dxa"/>
            <w:gridSpan w:val="7"/>
            <w:vAlign w:val="center"/>
          </w:tcPr>
          <w:p w14:paraId="0E6ADC4A" w14:textId="535E0513" w:rsidR="007C0660" w:rsidRPr="0011106C" w:rsidRDefault="001811EB" w:rsidP="001811EB">
            <w:pPr>
              <w:autoSpaceDE w:val="0"/>
              <w:autoSpaceDN w:val="0"/>
              <w:adjustRightInd w:val="0"/>
              <w:spacing w:after="0" w:line="240" w:lineRule="auto"/>
              <w:rPr>
                <w:rFonts w:ascii="Arial" w:hAnsi="Arial" w:cs="Arial"/>
                <w:color w:val="000000"/>
                <w:lang w:val="es-ES"/>
              </w:rPr>
            </w:pPr>
            <w:r w:rsidRPr="001811EB">
              <w:rPr>
                <w:rFonts w:ascii="Arial" w:hAnsi="Arial" w:cs="Arial"/>
                <w:color w:val="000000"/>
                <w:lang w:val="es-ES"/>
              </w:rPr>
              <w:t>Analiza la relevancia del examen microbiológico del líquido cefalorraquídeo para la detección de infecciones graves, como la</w:t>
            </w:r>
            <w:r>
              <w:rPr>
                <w:rFonts w:ascii="Arial" w:hAnsi="Arial" w:cs="Arial"/>
                <w:color w:val="000000"/>
                <w:lang w:val="es-ES"/>
              </w:rPr>
              <w:t xml:space="preserve"> </w:t>
            </w:r>
            <w:r w:rsidRPr="001811EB">
              <w:rPr>
                <w:rFonts w:ascii="Arial" w:hAnsi="Arial" w:cs="Arial"/>
                <w:color w:val="000000"/>
                <w:lang w:val="es-ES"/>
              </w:rPr>
              <w:t>meningitis bacteriana, viral o fúngica, y la encefalitis.</w:t>
            </w:r>
          </w:p>
        </w:tc>
      </w:tr>
      <w:tr w:rsidR="007C0660" w:rsidRPr="0011106C" w14:paraId="4FE602EB" w14:textId="77777777" w:rsidTr="004B4DE5">
        <w:tc>
          <w:tcPr>
            <w:tcW w:w="2723" w:type="dxa"/>
            <w:shd w:val="clear" w:color="auto" w:fill="F2F2F2" w:themeFill="background1" w:themeFillShade="F2"/>
            <w:vAlign w:val="center"/>
          </w:tcPr>
          <w:p w14:paraId="565B2A17" w14:textId="77777777" w:rsidR="007C0660" w:rsidRPr="0011106C" w:rsidRDefault="007C0660" w:rsidP="004B4DE5">
            <w:pPr>
              <w:spacing w:after="0"/>
              <w:rPr>
                <w:rFonts w:ascii="Arial" w:hAnsi="Arial" w:cs="Arial"/>
                <w:b/>
              </w:rPr>
            </w:pPr>
            <w:r w:rsidRPr="0011106C">
              <w:rPr>
                <w:rFonts w:ascii="Arial" w:hAnsi="Arial" w:cs="Arial"/>
                <w:b/>
              </w:rPr>
              <w:t>OBJETIVO GENERAL</w:t>
            </w:r>
          </w:p>
        </w:tc>
        <w:tc>
          <w:tcPr>
            <w:tcW w:w="6517" w:type="dxa"/>
            <w:gridSpan w:val="6"/>
            <w:vAlign w:val="center"/>
          </w:tcPr>
          <w:p w14:paraId="026AA26E" w14:textId="77777777" w:rsidR="007C0660" w:rsidRPr="0011106C" w:rsidRDefault="007C0660" w:rsidP="004B4DE5">
            <w:pPr>
              <w:spacing w:after="0" w:line="240" w:lineRule="auto"/>
              <w:jc w:val="both"/>
              <w:rPr>
                <w:rFonts w:ascii="Arial" w:eastAsia="Times New Roman" w:hAnsi="Arial" w:cs="Arial"/>
                <w:lang w:val="es-ES" w:eastAsia="es-ES"/>
              </w:rPr>
            </w:pPr>
            <w:r w:rsidRPr="00053A62">
              <w:rPr>
                <w:rFonts w:ascii="Arial" w:eastAsia="Times New Roman" w:hAnsi="Arial" w:cs="Arial"/>
                <w:lang w:val="es-ES" w:eastAsia="es-ES"/>
              </w:rPr>
              <w:t>Determinar mediante el cultivo del Líquido Cefalorraquídeo (LCR) el diagnóstico microbiológico de una infección del Sistema Nervioso Central (SNC).</w:t>
            </w:r>
          </w:p>
        </w:tc>
      </w:tr>
      <w:tr w:rsidR="007C0660" w:rsidRPr="0011106C" w14:paraId="26F9ED07" w14:textId="77777777" w:rsidTr="004B4DE5">
        <w:tc>
          <w:tcPr>
            <w:tcW w:w="2723" w:type="dxa"/>
            <w:shd w:val="clear" w:color="auto" w:fill="F2F2F2" w:themeFill="background1" w:themeFillShade="F2"/>
            <w:vAlign w:val="center"/>
          </w:tcPr>
          <w:p w14:paraId="460ACA9D" w14:textId="77777777" w:rsidR="007C0660" w:rsidRPr="0011106C" w:rsidRDefault="007C0660" w:rsidP="004B4DE5">
            <w:pPr>
              <w:spacing w:after="0"/>
              <w:rPr>
                <w:rFonts w:ascii="Arial" w:hAnsi="Arial" w:cs="Arial"/>
                <w:b/>
              </w:rPr>
            </w:pPr>
            <w:r w:rsidRPr="0011106C">
              <w:rPr>
                <w:rFonts w:ascii="Arial" w:hAnsi="Arial" w:cs="Arial"/>
                <w:b/>
              </w:rPr>
              <w:t>Objetivos específicos</w:t>
            </w:r>
          </w:p>
        </w:tc>
        <w:tc>
          <w:tcPr>
            <w:tcW w:w="6517" w:type="dxa"/>
            <w:gridSpan w:val="6"/>
            <w:vAlign w:val="center"/>
          </w:tcPr>
          <w:p w14:paraId="270BC054" w14:textId="77777777" w:rsidR="007C0660" w:rsidRPr="00053A62" w:rsidRDefault="007C0660" w:rsidP="004B4DE5">
            <w:pPr>
              <w:spacing w:after="0"/>
              <w:jc w:val="both"/>
              <w:rPr>
                <w:rFonts w:ascii="Arial" w:hAnsi="Arial" w:cs="Arial"/>
              </w:rPr>
            </w:pPr>
            <w:r>
              <w:rPr>
                <w:rFonts w:ascii="Arial" w:hAnsi="Arial" w:cs="Arial"/>
              </w:rPr>
              <w:t>1.</w:t>
            </w:r>
            <w:r w:rsidRPr="00053A62">
              <w:rPr>
                <w:rFonts w:ascii="Arial" w:hAnsi="Arial" w:cs="Arial"/>
              </w:rPr>
              <w:t>Conocer los pasos a seguir en la toma adecuada de muestras de LCR para la realización de estudios microbiológicos.</w:t>
            </w:r>
          </w:p>
          <w:p w14:paraId="08DE2173" w14:textId="77777777" w:rsidR="007C0660" w:rsidRPr="00053A62" w:rsidRDefault="007C0660" w:rsidP="004B4DE5">
            <w:pPr>
              <w:spacing w:after="0"/>
              <w:jc w:val="both"/>
              <w:rPr>
                <w:rFonts w:ascii="Arial" w:hAnsi="Arial" w:cs="Arial"/>
              </w:rPr>
            </w:pPr>
            <w:r>
              <w:rPr>
                <w:rFonts w:ascii="Arial" w:hAnsi="Arial" w:cs="Arial"/>
              </w:rPr>
              <w:lastRenderedPageBreak/>
              <w:t>2.</w:t>
            </w:r>
            <w:r w:rsidRPr="00053A62">
              <w:rPr>
                <w:rFonts w:ascii="Arial" w:hAnsi="Arial" w:cs="Arial"/>
              </w:rPr>
              <w:t>Analizar macroscópica y microscópicamente una muestra de LCR y realizar el reporte adecuado de este estudio.</w:t>
            </w:r>
          </w:p>
          <w:p w14:paraId="4CB5DE77" w14:textId="77777777" w:rsidR="007C0660" w:rsidRPr="00053A62" w:rsidRDefault="007C0660" w:rsidP="004B4DE5">
            <w:pPr>
              <w:spacing w:after="0"/>
              <w:jc w:val="both"/>
              <w:rPr>
                <w:rFonts w:ascii="Arial" w:hAnsi="Arial" w:cs="Arial"/>
              </w:rPr>
            </w:pPr>
            <w:r>
              <w:rPr>
                <w:rFonts w:ascii="Arial" w:hAnsi="Arial" w:cs="Arial"/>
              </w:rPr>
              <w:t>3.</w:t>
            </w:r>
            <w:r w:rsidRPr="00053A62">
              <w:rPr>
                <w:rFonts w:ascii="Arial" w:hAnsi="Arial" w:cs="Arial"/>
              </w:rPr>
              <w:t>Aplicar las técnicas microbiológicas convencionales para el aislamiento e identificación de bacterias involucradas en las infecciones del SNC.</w:t>
            </w:r>
          </w:p>
          <w:p w14:paraId="78246314" w14:textId="77777777" w:rsidR="007C0660" w:rsidRPr="0011106C" w:rsidRDefault="007C0660" w:rsidP="00214AF0">
            <w:pPr>
              <w:spacing w:after="0"/>
              <w:jc w:val="both"/>
              <w:rPr>
                <w:rFonts w:ascii="Arial" w:hAnsi="Arial" w:cs="Arial"/>
              </w:rPr>
            </w:pPr>
            <w:r>
              <w:rPr>
                <w:rFonts w:ascii="Arial" w:hAnsi="Arial" w:cs="Arial"/>
              </w:rPr>
              <w:t>4.</w:t>
            </w:r>
            <w:r w:rsidRPr="00053A62">
              <w:rPr>
                <w:rFonts w:ascii="Arial" w:hAnsi="Arial" w:cs="Arial"/>
              </w:rPr>
              <w:t xml:space="preserve">Determinar el patrón de susceptibilidad de las bacterias </w:t>
            </w:r>
          </w:p>
        </w:tc>
      </w:tr>
    </w:tbl>
    <w:p w14:paraId="5D06FBA2" w14:textId="77777777" w:rsidR="00214AF0" w:rsidRDefault="00214AF0" w:rsidP="00854F7D">
      <w:pPr>
        <w:rPr>
          <w:rFonts w:ascii="Times New Roman" w:hAnsi="Times New Roman" w:cs="Times New Roman"/>
          <w:sz w:val="20"/>
          <w:szCs w:val="20"/>
        </w:rPr>
      </w:pPr>
    </w:p>
    <w:tbl>
      <w:tblPr>
        <w:tblStyle w:val="Tablaconcuadrcula"/>
        <w:tblW w:w="9240" w:type="dxa"/>
        <w:tblInd w:w="-176" w:type="dxa"/>
        <w:tblLook w:val="04A0" w:firstRow="1" w:lastRow="0" w:firstColumn="1" w:lastColumn="0" w:noHBand="0" w:noVBand="1"/>
      </w:tblPr>
      <w:tblGrid>
        <w:gridCol w:w="2723"/>
        <w:gridCol w:w="142"/>
        <w:gridCol w:w="3231"/>
        <w:gridCol w:w="548"/>
        <w:gridCol w:w="2596"/>
      </w:tblGrid>
      <w:tr w:rsidR="00214AF0" w:rsidRPr="0011106C" w14:paraId="753BBC48" w14:textId="77777777" w:rsidTr="004B4DE5">
        <w:tc>
          <w:tcPr>
            <w:tcW w:w="9240" w:type="dxa"/>
            <w:gridSpan w:val="5"/>
          </w:tcPr>
          <w:p w14:paraId="6FF06ABD" w14:textId="77777777" w:rsidR="00214AF0" w:rsidRPr="0011106C" w:rsidRDefault="00214AF0" w:rsidP="004B4DE5">
            <w:pPr>
              <w:spacing w:after="0"/>
              <w:rPr>
                <w:rFonts w:ascii="Arial" w:hAnsi="Arial" w:cs="Arial"/>
                <w:b/>
              </w:rPr>
            </w:pPr>
            <w:r w:rsidRPr="0011106C">
              <w:rPr>
                <w:rFonts w:ascii="Arial" w:hAnsi="Arial" w:cs="Arial"/>
                <w:b/>
              </w:rPr>
              <w:t>FUNDAMENTO TEÓRICO:</w:t>
            </w:r>
          </w:p>
        </w:tc>
      </w:tr>
      <w:tr w:rsidR="00214AF0" w:rsidRPr="0011106C" w14:paraId="20D4DD63" w14:textId="77777777" w:rsidTr="004B4DE5">
        <w:tc>
          <w:tcPr>
            <w:tcW w:w="9240" w:type="dxa"/>
            <w:gridSpan w:val="5"/>
          </w:tcPr>
          <w:p w14:paraId="0FB31E74" w14:textId="77777777" w:rsidR="00214AF0" w:rsidRPr="00053A62" w:rsidRDefault="00214AF0" w:rsidP="004B4DE5">
            <w:pPr>
              <w:spacing w:after="0"/>
              <w:rPr>
                <w:rFonts w:ascii="Arial" w:hAnsi="Arial" w:cs="Arial"/>
              </w:rPr>
            </w:pPr>
            <w:r w:rsidRPr="00053A62">
              <w:rPr>
                <w:rFonts w:ascii="Arial" w:hAnsi="Arial" w:cs="Arial"/>
              </w:rPr>
              <w:t>El estudio del Líquido Cefalorraquídeo (LCR) en pacientes sospechosos de tener un proceso infeccioso del Sistema Nervioso Central (SNC), representa uno de los más importantes procedimientos de urgencia que debe realizar el laboratorio de microbiología clínica. Esto se debe a la urgente necesidad de instalar una terapia antimicrobiana eficaz cuando se identifica el agente infeccioso involucrado.</w:t>
            </w:r>
          </w:p>
          <w:p w14:paraId="65A40B33" w14:textId="77777777" w:rsidR="00214AF0" w:rsidRPr="00053A62" w:rsidRDefault="00214AF0" w:rsidP="004B4DE5">
            <w:pPr>
              <w:spacing w:after="0"/>
              <w:rPr>
                <w:rFonts w:ascii="Arial" w:hAnsi="Arial" w:cs="Arial"/>
              </w:rPr>
            </w:pPr>
            <w:r w:rsidRPr="00053A62">
              <w:rPr>
                <w:rFonts w:ascii="Arial" w:hAnsi="Arial" w:cs="Arial"/>
              </w:rPr>
              <w:t>Las patologías infecciosas del SNC son variadas y pueden involucrar más de una estructura anatómica o tejido cerebral, es por ello que debemos realizar una revisión de algunos térm</w:t>
            </w:r>
            <w:r>
              <w:rPr>
                <w:rFonts w:ascii="Arial" w:hAnsi="Arial" w:cs="Arial"/>
              </w:rPr>
              <w:t>inos comúnmente utilizados:</w:t>
            </w:r>
          </w:p>
          <w:p w14:paraId="614E932B" w14:textId="77777777" w:rsidR="00214AF0" w:rsidRPr="00053A62" w:rsidRDefault="00214AF0" w:rsidP="004B4DE5">
            <w:pPr>
              <w:spacing w:after="0"/>
              <w:rPr>
                <w:rFonts w:ascii="Arial" w:hAnsi="Arial" w:cs="Arial"/>
              </w:rPr>
            </w:pPr>
            <w:r>
              <w:rPr>
                <w:rFonts w:ascii="Arial" w:hAnsi="Arial" w:cs="Arial"/>
              </w:rPr>
              <w:t></w:t>
            </w:r>
            <w:r w:rsidRPr="00053A62">
              <w:rPr>
                <w:rFonts w:ascii="Arial" w:hAnsi="Arial" w:cs="Arial"/>
              </w:rPr>
              <w:t>Meningitis: Inflamación de las meninges, identificada por una cuantificación anormal de leucocitos en LCR y con manifestaciones clínicas dependientes de la evolución del cuadro clínico.</w:t>
            </w:r>
          </w:p>
          <w:p w14:paraId="1E70CB30" w14:textId="77777777" w:rsidR="00214AF0" w:rsidRPr="00053A62" w:rsidRDefault="00214AF0" w:rsidP="004B4DE5">
            <w:pPr>
              <w:spacing w:after="0"/>
              <w:rPr>
                <w:rFonts w:ascii="Arial" w:hAnsi="Arial" w:cs="Arial"/>
              </w:rPr>
            </w:pPr>
            <w:r>
              <w:rPr>
                <w:rFonts w:ascii="Arial" w:hAnsi="Arial" w:cs="Arial"/>
              </w:rPr>
              <w:t></w:t>
            </w:r>
            <w:r w:rsidRPr="00053A62">
              <w:rPr>
                <w:rFonts w:ascii="Arial" w:hAnsi="Arial" w:cs="Arial"/>
              </w:rPr>
              <w:t>Encefalitis: Inflamación o infección del tejido cerebral o ambos fenómenos, con o sin edema secundario.</w:t>
            </w:r>
          </w:p>
          <w:p w14:paraId="682FBFDC" w14:textId="77777777" w:rsidR="00214AF0" w:rsidRPr="00053A62" w:rsidRDefault="00214AF0" w:rsidP="004B4DE5">
            <w:pPr>
              <w:spacing w:after="0"/>
              <w:rPr>
                <w:rFonts w:ascii="Arial" w:hAnsi="Arial" w:cs="Arial"/>
              </w:rPr>
            </w:pPr>
            <w:r>
              <w:rPr>
                <w:rFonts w:ascii="Arial" w:hAnsi="Arial" w:cs="Arial"/>
              </w:rPr>
              <w:t></w:t>
            </w:r>
            <w:r w:rsidRPr="00053A62">
              <w:rPr>
                <w:rFonts w:ascii="Arial" w:hAnsi="Arial" w:cs="Arial"/>
              </w:rPr>
              <w:t>Meningoencefalitis: Inflamación o infección del cerebro o ambas alteraciones con afección de las meninges.</w:t>
            </w:r>
          </w:p>
          <w:p w14:paraId="0AE04972" w14:textId="77777777" w:rsidR="00214AF0" w:rsidRPr="00053A62" w:rsidRDefault="00214AF0" w:rsidP="004B4DE5">
            <w:pPr>
              <w:spacing w:after="0"/>
              <w:rPr>
                <w:rFonts w:ascii="Arial" w:hAnsi="Arial" w:cs="Arial"/>
              </w:rPr>
            </w:pPr>
            <w:r>
              <w:rPr>
                <w:rFonts w:ascii="Arial" w:hAnsi="Arial" w:cs="Arial"/>
              </w:rPr>
              <w:t></w:t>
            </w:r>
            <w:r w:rsidRPr="00053A62">
              <w:rPr>
                <w:rFonts w:ascii="Arial" w:hAnsi="Arial" w:cs="Arial"/>
              </w:rPr>
              <w:t>Meningitis bacteriana: Inflamación meníngea causada por una bacteria patógena presente en LCR. La infección provocada por Mycobacterium tuberculosis constituye una entidad particular denominada meningitis tuberculosa.</w:t>
            </w:r>
          </w:p>
          <w:p w14:paraId="596E4AD1" w14:textId="77777777" w:rsidR="00214AF0" w:rsidRPr="00053A62" w:rsidRDefault="00214AF0" w:rsidP="004B4DE5">
            <w:pPr>
              <w:spacing w:after="0"/>
              <w:rPr>
                <w:rFonts w:ascii="Arial" w:hAnsi="Arial" w:cs="Arial"/>
              </w:rPr>
            </w:pPr>
            <w:r>
              <w:rPr>
                <w:rFonts w:ascii="Arial" w:hAnsi="Arial" w:cs="Arial"/>
              </w:rPr>
              <w:t></w:t>
            </w:r>
            <w:r w:rsidRPr="00053A62">
              <w:rPr>
                <w:rFonts w:ascii="Arial" w:hAnsi="Arial" w:cs="Arial"/>
              </w:rPr>
              <w:t>Meningitis aséptica: Inflamación meníngea de causa diversa, sin evidencia de un microorganismo patógeno detectable en LCR, aplicando técnicas usuales de laboratorio.</w:t>
            </w:r>
          </w:p>
          <w:p w14:paraId="77391ACD" w14:textId="77777777" w:rsidR="00214AF0" w:rsidRDefault="00214AF0" w:rsidP="004B4DE5">
            <w:pPr>
              <w:spacing w:after="0"/>
              <w:rPr>
                <w:rFonts w:ascii="Arial" w:hAnsi="Arial" w:cs="Arial"/>
              </w:rPr>
            </w:pPr>
            <w:r w:rsidRPr="00053A62">
              <w:rPr>
                <w:rFonts w:ascii="Arial" w:hAnsi="Arial" w:cs="Arial"/>
              </w:rPr>
              <w:t>Las infecciones del SNC pueden ser causadas por bacterias, virus, hongos o parásitos que se hallan en el medio ambiente o que forman parte de la flora normal de las su</w:t>
            </w:r>
            <w:r>
              <w:rPr>
                <w:rFonts w:ascii="Arial" w:hAnsi="Arial" w:cs="Arial"/>
              </w:rPr>
              <w:t>perficies corporales.</w:t>
            </w:r>
            <w:r w:rsidRPr="00053A62">
              <w:rPr>
                <w:rFonts w:ascii="Arial" w:hAnsi="Arial" w:cs="Arial"/>
              </w:rPr>
              <w:t xml:space="preserve"> Por lo general, en las infecciones del SNC los agentes causales son introducidos previamente en los tejidos periféricos del hospedero y se dirigen al SNC a través de la circulación sistémica como es el caso de agentes patógenos que colonizan el tracto respiratorio (ej: virus de la encefalitis equina), por las vías nerviosas (ej: virus de la rabia), o a través de la placenta (ej: virus de la rubéola). Otra forma de ingreso de los microorganismos en el SNC es por inoculación directa, ocasionado por los trauma</w:t>
            </w:r>
            <w:r>
              <w:rPr>
                <w:rFonts w:ascii="Arial" w:hAnsi="Arial" w:cs="Arial"/>
              </w:rPr>
              <w:t xml:space="preserve">tismos craneoencefálicos. </w:t>
            </w:r>
          </w:p>
          <w:p w14:paraId="64C6135F" w14:textId="77777777" w:rsidR="00214AF0" w:rsidRPr="00053A62" w:rsidRDefault="00214AF0" w:rsidP="004B4DE5">
            <w:pPr>
              <w:spacing w:after="0"/>
              <w:rPr>
                <w:rFonts w:ascii="Arial" w:hAnsi="Arial" w:cs="Arial"/>
              </w:rPr>
            </w:pPr>
          </w:p>
          <w:p w14:paraId="1DE208BE" w14:textId="77777777" w:rsidR="00214AF0" w:rsidRPr="00053A62" w:rsidRDefault="00214AF0" w:rsidP="004B4DE5">
            <w:pPr>
              <w:spacing w:after="0"/>
              <w:rPr>
                <w:rFonts w:ascii="Arial" w:hAnsi="Arial" w:cs="Arial"/>
              </w:rPr>
            </w:pPr>
            <w:r w:rsidRPr="00053A62">
              <w:rPr>
                <w:rFonts w:ascii="Arial" w:hAnsi="Arial" w:cs="Arial"/>
              </w:rPr>
              <w:t xml:space="preserve">Es importante destacar que en algunas infecciones los microorganismos están alojados en el SNC en un estado de “latencia”, tal es el caso de </w:t>
            </w:r>
            <w:r w:rsidRPr="00053A62">
              <w:rPr>
                <w:rFonts w:ascii="Arial" w:hAnsi="Arial" w:cs="Arial"/>
                <w:i/>
              </w:rPr>
              <w:t>Mycobacterium tuberculosis</w:t>
            </w:r>
            <w:r w:rsidRPr="00053A62">
              <w:rPr>
                <w:rFonts w:ascii="Arial" w:hAnsi="Arial" w:cs="Arial"/>
              </w:rPr>
              <w:t xml:space="preserve"> o </w:t>
            </w:r>
            <w:r w:rsidRPr="00053A62">
              <w:rPr>
                <w:rFonts w:ascii="Arial" w:hAnsi="Arial" w:cs="Arial"/>
                <w:i/>
              </w:rPr>
              <w:t>Treponema pallidum.</w:t>
            </w:r>
            <w:r w:rsidRPr="00053A62">
              <w:rPr>
                <w:rFonts w:ascii="Arial" w:hAnsi="Arial" w:cs="Arial"/>
              </w:rPr>
              <w:t xml:space="preserve"> Estos agentes producen la enfermedad activa algún tiempo después o cuando las condiciones inmunológicas del huésped así lo permitan.</w:t>
            </w:r>
          </w:p>
          <w:p w14:paraId="037623B7" w14:textId="77777777" w:rsidR="00214AF0" w:rsidRPr="00053A62" w:rsidRDefault="00214AF0" w:rsidP="004B4DE5">
            <w:pPr>
              <w:spacing w:after="0"/>
              <w:rPr>
                <w:rFonts w:ascii="Arial" w:hAnsi="Arial" w:cs="Arial"/>
              </w:rPr>
            </w:pPr>
            <w:r w:rsidRPr="00053A62">
              <w:rPr>
                <w:rFonts w:ascii="Arial" w:hAnsi="Arial" w:cs="Arial"/>
              </w:rPr>
              <w:t xml:space="preserve">Aunque los abscesos del SNC son relativamente raros en comparación con otras infecciones del SNC, representan un problema microbiológico y clínico especial. Estos pueden hallarse en el interior de los tejidos del SNC o en los espacios subdural o epidural. Algunas veces son una complicación de la meningitis piógena. Más a menudo, los abscesos del SNC son producto de la embolización de bacterias u hongos desde un sitio distante </w:t>
            </w:r>
            <w:r w:rsidRPr="00053A62">
              <w:rPr>
                <w:rFonts w:ascii="Arial" w:hAnsi="Arial" w:cs="Arial"/>
              </w:rPr>
              <w:lastRenderedPageBreak/>
              <w:t>infectado, como es el caso de la endocarditis bacteriana o el absceso pulmonar piógeno, extensión de un foco contiguo de infección (sinusitis o mastoiditis) o consecuencia de una complicación quirúrgica</w:t>
            </w:r>
            <w:r>
              <w:rPr>
                <w:rFonts w:ascii="Arial" w:hAnsi="Arial" w:cs="Arial"/>
              </w:rPr>
              <w:t xml:space="preserve"> o traumatismo no quirúrgico.</w:t>
            </w:r>
          </w:p>
          <w:p w14:paraId="6644C9EB" w14:textId="77777777" w:rsidR="00214AF0" w:rsidRPr="00053A62" w:rsidRDefault="00214AF0" w:rsidP="004B4DE5">
            <w:pPr>
              <w:spacing w:after="0"/>
              <w:rPr>
                <w:rFonts w:ascii="Arial" w:hAnsi="Arial" w:cs="Arial"/>
              </w:rPr>
            </w:pPr>
            <w:r w:rsidRPr="00053A62">
              <w:rPr>
                <w:rFonts w:ascii="Arial" w:hAnsi="Arial" w:cs="Arial"/>
              </w:rPr>
              <w:t xml:space="preserve">Las infecciones del SNC suelen tener consecuencias graves. La meningitis bacteriana no tratada, es letal en un 70% de los casos. Sin embargo, los avances en las diversas técnicas diagnósticas, así como el desarrollo de nuevos agentes antimicrobianos han reducido la mortalidad por estas enfermedades en un 10%. Por otro lado, algunas infecciones del SNC ocurridas durante la infancia dejan severas secuelas neurológicas que alteran el desarrollo mental </w:t>
            </w:r>
            <w:r>
              <w:rPr>
                <w:rFonts w:ascii="Arial" w:hAnsi="Arial" w:cs="Arial"/>
              </w:rPr>
              <w:t>y psicomotor del individuo.</w:t>
            </w:r>
          </w:p>
          <w:p w14:paraId="78031D2D" w14:textId="77777777" w:rsidR="00214AF0" w:rsidRPr="00053A62" w:rsidRDefault="00214AF0" w:rsidP="004B4DE5">
            <w:pPr>
              <w:spacing w:after="0"/>
              <w:rPr>
                <w:rFonts w:ascii="Arial" w:hAnsi="Arial" w:cs="Arial"/>
              </w:rPr>
            </w:pPr>
            <w:r w:rsidRPr="00053A62">
              <w:rPr>
                <w:rFonts w:ascii="Arial" w:hAnsi="Arial" w:cs="Arial"/>
              </w:rPr>
              <w:t>La infección aguda del SNC constituye un problema diagnóstico de gran urgencia. El examen del líquido cefalorraquídeo (LCR) es absolutamente necesario cuando se sospecha de infecciones agudas del SNC. La muestra de LCR se obtiene realizando una punción lumbar, la técnica debe ser realizada por el personal competente y bajo estrictas condiciones de asepsia, por lo tanto, todos los organismos recuperados de los cultivos</w:t>
            </w:r>
            <w:r>
              <w:rPr>
                <w:rFonts w:ascii="Arial" w:hAnsi="Arial" w:cs="Arial"/>
              </w:rPr>
              <w:t xml:space="preserve"> son patógenos potenciales.</w:t>
            </w:r>
          </w:p>
          <w:p w14:paraId="2A833B43" w14:textId="77777777" w:rsidR="00214AF0" w:rsidRPr="00053A62" w:rsidRDefault="00214AF0" w:rsidP="004B4DE5">
            <w:pPr>
              <w:spacing w:after="0"/>
              <w:rPr>
                <w:rFonts w:ascii="Arial" w:hAnsi="Arial" w:cs="Arial"/>
              </w:rPr>
            </w:pPr>
            <w:r w:rsidRPr="00053A62">
              <w:rPr>
                <w:rFonts w:ascii="Arial" w:hAnsi="Arial" w:cs="Arial"/>
              </w:rPr>
              <w:t>Los elementos de la respuesta inflamatoria en el LCR son de gran ayuda para determinar si la infección es bacteriana o viral, incluso puede sugerir la presencia de un determinado a</w:t>
            </w:r>
            <w:r>
              <w:rPr>
                <w:rFonts w:ascii="Arial" w:hAnsi="Arial" w:cs="Arial"/>
              </w:rPr>
              <w:t xml:space="preserve">gente infeccioso. </w:t>
            </w:r>
          </w:p>
          <w:p w14:paraId="0785532F" w14:textId="77777777" w:rsidR="00214AF0" w:rsidRPr="0011106C" w:rsidRDefault="00214AF0" w:rsidP="004B4DE5">
            <w:pPr>
              <w:spacing w:after="0"/>
              <w:rPr>
                <w:rFonts w:ascii="Arial" w:hAnsi="Arial" w:cs="Arial"/>
                <w:b/>
              </w:rPr>
            </w:pPr>
            <w:r w:rsidRPr="00053A62">
              <w:rPr>
                <w:rFonts w:ascii="Arial" w:hAnsi="Arial" w:cs="Arial"/>
              </w:rPr>
              <w:t xml:space="preserve">El cultivo del LCR es la forma clásica de establecer de manera definitiva la etiología y es útil para hacer la evaluación de la susceptibilidad a los diferentes agentes antimicrobianos. Sin embargo, existen otras técnicas para detectar la presencia del microorganismos en LCR, como la detección de antígenos específicos (búsqueda inmunológica) o la detección de células bacterianas no viables (técnicas moleculares). Estas pruebas permiten realizar un diagnóstico rápido, así como la detección de bajos niveles de antígenos, células muertas o </w:t>
            </w:r>
            <w:r>
              <w:rPr>
                <w:rFonts w:ascii="Arial" w:hAnsi="Arial" w:cs="Arial"/>
              </w:rPr>
              <w:t>material genético específico.</w:t>
            </w:r>
          </w:p>
        </w:tc>
      </w:tr>
      <w:tr w:rsidR="00214AF0" w:rsidRPr="0011106C" w14:paraId="5BADCB7F" w14:textId="77777777" w:rsidTr="004B4DE5">
        <w:tc>
          <w:tcPr>
            <w:tcW w:w="9240" w:type="dxa"/>
            <w:gridSpan w:val="5"/>
            <w:shd w:val="clear" w:color="auto" w:fill="F2F2F2" w:themeFill="background1" w:themeFillShade="F2"/>
          </w:tcPr>
          <w:p w14:paraId="213DD1FE" w14:textId="77777777" w:rsidR="00214AF0" w:rsidRPr="0011106C" w:rsidRDefault="00214AF0" w:rsidP="004B4DE5">
            <w:pPr>
              <w:spacing w:after="0"/>
              <w:rPr>
                <w:rFonts w:ascii="Arial" w:hAnsi="Arial" w:cs="Arial"/>
                <w:b/>
              </w:rPr>
            </w:pPr>
          </w:p>
        </w:tc>
      </w:tr>
      <w:tr w:rsidR="00214AF0" w:rsidRPr="0011106C" w14:paraId="7423BE96" w14:textId="77777777" w:rsidTr="004B4DE5">
        <w:tc>
          <w:tcPr>
            <w:tcW w:w="9240" w:type="dxa"/>
            <w:gridSpan w:val="5"/>
            <w:shd w:val="clear" w:color="auto" w:fill="F2F2F2" w:themeFill="background1" w:themeFillShade="F2"/>
          </w:tcPr>
          <w:p w14:paraId="3564B941" w14:textId="77777777" w:rsidR="00214AF0" w:rsidRPr="0011106C" w:rsidRDefault="00214AF0" w:rsidP="004B4DE5">
            <w:pPr>
              <w:spacing w:after="0"/>
              <w:jc w:val="both"/>
              <w:textAlignment w:val="baseline"/>
              <w:rPr>
                <w:rFonts w:ascii="Arial" w:hAnsi="Arial" w:cs="Arial"/>
                <w:b/>
              </w:rPr>
            </w:pPr>
            <w:r w:rsidRPr="0011106C">
              <w:rPr>
                <w:rFonts w:ascii="Arial" w:hAnsi="Arial" w:cs="Arial"/>
                <w:b/>
              </w:rPr>
              <w:t>MATERIALES Y MÉTODOS</w:t>
            </w:r>
          </w:p>
        </w:tc>
      </w:tr>
      <w:tr w:rsidR="00214AF0" w:rsidRPr="0011106C" w14:paraId="255BAC08" w14:textId="77777777" w:rsidTr="004B4DE5">
        <w:tc>
          <w:tcPr>
            <w:tcW w:w="2723" w:type="dxa"/>
            <w:vAlign w:val="center"/>
          </w:tcPr>
          <w:p w14:paraId="1A5387BE" w14:textId="77777777" w:rsidR="00214AF0" w:rsidRPr="0011106C" w:rsidRDefault="00214AF0" w:rsidP="004B4DE5">
            <w:pPr>
              <w:spacing w:after="0"/>
              <w:jc w:val="center"/>
              <w:textAlignment w:val="baseline"/>
              <w:rPr>
                <w:rFonts w:ascii="Arial" w:hAnsi="Arial" w:cs="Arial"/>
                <w:b/>
              </w:rPr>
            </w:pPr>
            <w:r w:rsidRPr="0011106C">
              <w:rPr>
                <w:rFonts w:ascii="Arial" w:hAnsi="Arial" w:cs="Arial"/>
                <w:b/>
              </w:rPr>
              <w:t>Equipos</w:t>
            </w:r>
          </w:p>
        </w:tc>
        <w:tc>
          <w:tcPr>
            <w:tcW w:w="3921" w:type="dxa"/>
            <w:gridSpan w:val="3"/>
            <w:vAlign w:val="center"/>
          </w:tcPr>
          <w:p w14:paraId="118B3242" w14:textId="77777777" w:rsidR="00214AF0" w:rsidRPr="0011106C" w:rsidRDefault="00214AF0" w:rsidP="004B4DE5">
            <w:pPr>
              <w:spacing w:after="0"/>
              <w:jc w:val="center"/>
              <w:textAlignment w:val="baseline"/>
              <w:rPr>
                <w:rFonts w:ascii="Arial" w:hAnsi="Arial" w:cs="Arial"/>
                <w:b/>
              </w:rPr>
            </w:pPr>
            <w:r w:rsidRPr="0011106C">
              <w:rPr>
                <w:rFonts w:ascii="Arial" w:hAnsi="Arial" w:cs="Arial"/>
                <w:b/>
              </w:rPr>
              <w:t>Materiales</w:t>
            </w:r>
          </w:p>
        </w:tc>
        <w:tc>
          <w:tcPr>
            <w:tcW w:w="2596" w:type="dxa"/>
            <w:vAlign w:val="center"/>
          </w:tcPr>
          <w:p w14:paraId="2413C43A" w14:textId="77777777" w:rsidR="00214AF0" w:rsidRPr="0011106C" w:rsidRDefault="00214AF0" w:rsidP="004B4DE5">
            <w:pPr>
              <w:spacing w:after="0"/>
              <w:jc w:val="center"/>
              <w:textAlignment w:val="baseline"/>
              <w:rPr>
                <w:rFonts w:ascii="Arial" w:hAnsi="Arial" w:cs="Arial"/>
                <w:b/>
              </w:rPr>
            </w:pPr>
            <w:r w:rsidRPr="0011106C">
              <w:rPr>
                <w:rFonts w:ascii="Arial" w:hAnsi="Arial" w:cs="Arial"/>
                <w:b/>
              </w:rPr>
              <w:t>Reactivos</w:t>
            </w:r>
          </w:p>
        </w:tc>
      </w:tr>
      <w:tr w:rsidR="00214AF0" w:rsidRPr="0011106C" w14:paraId="2D56E8EF" w14:textId="77777777" w:rsidTr="004B4DE5">
        <w:tc>
          <w:tcPr>
            <w:tcW w:w="2723" w:type="dxa"/>
          </w:tcPr>
          <w:p w14:paraId="48E362E8" w14:textId="77777777" w:rsidR="00214AF0" w:rsidRPr="0011106C" w:rsidRDefault="00214AF0" w:rsidP="004B4DE5">
            <w:pPr>
              <w:spacing w:after="0"/>
              <w:jc w:val="both"/>
              <w:textAlignment w:val="baseline"/>
              <w:rPr>
                <w:rFonts w:ascii="Arial" w:hAnsi="Arial" w:cs="Arial"/>
              </w:rPr>
            </w:pPr>
            <w:r w:rsidRPr="0011106C">
              <w:rPr>
                <w:rFonts w:ascii="Arial" w:hAnsi="Arial" w:cs="Arial"/>
              </w:rPr>
              <w:t>Microscopios, mecheros</w:t>
            </w:r>
          </w:p>
        </w:tc>
        <w:tc>
          <w:tcPr>
            <w:tcW w:w="3921" w:type="dxa"/>
            <w:gridSpan w:val="3"/>
          </w:tcPr>
          <w:p w14:paraId="56563A5E" w14:textId="77777777" w:rsidR="00214AF0" w:rsidRPr="0011106C" w:rsidRDefault="00214AF0" w:rsidP="004B4DE5">
            <w:pPr>
              <w:spacing w:after="0"/>
              <w:jc w:val="both"/>
              <w:textAlignment w:val="baseline"/>
              <w:rPr>
                <w:rFonts w:ascii="Arial" w:hAnsi="Arial" w:cs="Arial"/>
              </w:rPr>
            </w:pPr>
            <w:r>
              <w:rPr>
                <w:rFonts w:ascii="Arial" w:hAnsi="Arial" w:cs="Arial"/>
              </w:rPr>
              <w:t xml:space="preserve">Muestra de LCR, </w:t>
            </w:r>
            <w:r w:rsidRPr="0011106C">
              <w:rPr>
                <w:rFonts w:ascii="Arial" w:hAnsi="Arial" w:cs="Arial"/>
              </w:rPr>
              <w:t>Asas, placas, láminas portaobjeto</w:t>
            </w:r>
            <w:r>
              <w:rPr>
                <w:rFonts w:ascii="Arial" w:hAnsi="Arial" w:cs="Arial"/>
              </w:rPr>
              <w:t>, pipetas Pasteur estériles</w:t>
            </w:r>
          </w:p>
        </w:tc>
        <w:tc>
          <w:tcPr>
            <w:tcW w:w="2596" w:type="dxa"/>
          </w:tcPr>
          <w:p w14:paraId="450A0B0E" w14:textId="77777777" w:rsidR="00214AF0" w:rsidRPr="0011106C" w:rsidRDefault="00214AF0" w:rsidP="004B4DE5">
            <w:pPr>
              <w:spacing w:after="0"/>
              <w:jc w:val="both"/>
              <w:textAlignment w:val="baseline"/>
              <w:rPr>
                <w:rFonts w:ascii="Arial" w:hAnsi="Arial" w:cs="Arial"/>
                <w:b/>
              </w:rPr>
            </w:pPr>
            <w:r>
              <w:rPr>
                <w:rFonts w:ascii="Arial" w:hAnsi="Arial" w:cs="Arial"/>
              </w:rPr>
              <w:t>Coloración de Gram</w:t>
            </w:r>
          </w:p>
        </w:tc>
      </w:tr>
      <w:tr w:rsidR="00214AF0" w:rsidRPr="0011106C" w14:paraId="706417C6" w14:textId="77777777" w:rsidTr="004B4DE5">
        <w:tc>
          <w:tcPr>
            <w:tcW w:w="2723" w:type="dxa"/>
          </w:tcPr>
          <w:p w14:paraId="7A32F249" w14:textId="77777777" w:rsidR="00214AF0" w:rsidRPr="0011106C" w:rsidRDefault="00214AF0" w:rsidP="004B4DE5">
            <w:pPr>
              <w:spacing w:after="0"/>
              <w:jc w:val="both"/>
              <w:textAlignment w:val="baseline"/>
              <w:rPr>
                <w:rFonts w:ascii="Arial" w:hAnsi="Arial" w:cs="Arial"/>
              </w:rPr>
            </w:pPr>
            <w:r w:rsidRPr="0011106C">
              <w:rPr>
                <w:rFonts w:ascii="Arial" w:hAnsi="Arial" w:cs="Arial"/>
              </w:rPr>
              <w:t>Estufa</w:t>
            </w:r>
          </w:p>
        </w:tc>
        <w:tc>
          <w:tcPr>
            <w:tcW w:w="3921" w:type="dxa"/>
            <w:gridSpan w:val="3"/>
          </w:tcPr>
          <w:p w14:paraId="0F85D614" w14:textId="77777777" w:rsidR="00214AF0" w:rsidRPr="0011106C" w:rsidRDefault="00214AF0" w:rsidP="004B4DE5">
            <w:pPr>
              <w:spacing w:after="0"/>
              <w:jc w:val="both"/>
              <w:textAlignment w:val="baseline"/>
              <w:rPr>
                <w:rFonts w:ascii="Arial" w:hAnsi="Arial" w:cs="Arial"/>
                <w:b/>
              </w:rPr>
            </w:pPr>
            <w:r w:rsidRPr="0011106C">
              <w:rPr>
                <w:rFonts w:ascii="Arial" w:hAnsi="Arial" w:cs="Arial"/>
              </w:rPr>
              <w:t>Hisopos estériles, Medios de cultivo: agar Sangre, agar MacConKey</w:t>
            </w:r>
          </w:p>
        </w:tc>
        <w:tc>
          <w:tcPr>
            <w:tcW w:w="2596" w:type="dxa"/>
          </w:tcPr>
          <w:p w14:paraId="1C7284F9" w14:textId="77777777" w:rsidR="00214AF0" w:rsidRPr="0011106C" w:rsidRDefault="00214AF0" w:rsidP="004B4DE5">
            <w:pPr>
              <w:spacing w:after="0"/>
              <w:jc w:val="both"/>
              <w:textAlignment w:val="baseline"/>
              <w:rPr>
                <w:rFonts w:ascii="Arial" w:hAnsi="Arial" w:cs="Arial"/>
              </w:rPr>
            </w:pPr>
          </w:p>
        </w:tc>
      </w:tr>
      <w:tr w:rsidR="00214AF0" w:rsidRPr="0011106C" w14:paraId="1B947623" w14:textId="77777777" w:rsidTr="004B4DE5">
        <w:tc>
          <w:tcPr>
            <w:tcW w:w="9240" w:type="dxa"/>
            <w:gridSpan w:val="5"/>
            <w:shd w:val="clear" w:color="auto" w:fill="F2F2F2" w:themeFill="background1" w:themeFillShade="F2"/>
          </w:tcPr>
          <w:p w14:paraId="4AF10688" w14:textId="77777777" w:rsidR="00214AF0" w:rsidRPr="0011106C" w:rsidRDefault="00214AF0" w:rsidP="004B4DE5">
            <w:pPr>
              <w:spacing w:after="0" w:line="240" w:lineRule="auto"/>
              <w:rPr>
                <w:rFonts w:ascii="Arial" w:hAnsi="Arial" w:cs="Arial"/>
              </w:rPr>
            </w:pPr>
            <w:r w:rsidRPr="0011106C">
              <w:rPr>
                <w:rFonts w:ascii="Arial" w:hAnsi="Arial" w:cs="Arial"/>
                <w:b/>
              </w:rPr>
              <w:t>PROCEDIMIENTO / TÉCNICA:</w:t>
            </w:r>
          </w:p>
        </w:tc>
      </w:tr>
      <w:tr w:rsidR="00214AF0" w:rsidRPr="0011106C" w14:paraId="6DFEAB86" w14:textId="77777777" w:rsidTr="004B4DE5">
        <w:tc>
          <w:tcPr>
            <w:tcW w:w="9240" w:type="dxa"/>
            <w:gridSpan w:val="5"/>
          </w:tcPr>
          <w:p w14:paraId="2984D151" w14:textId="77777777" w:rsidR="00214AF0" w:rsidRPr="000D3E86" w:rsidRDefault="00214AF0" w:rsidP="004B4DE5">
            <w:pPr>
              <w:spacing w:after="0" w:line="240" w:lineRule="auto"/>
              <w:rPr>
                <w:rFonts w:ascii="Arial" w:hAnsi="Arial" w:cs="Arial"/>
              </w:rPr>
            </w:pPr>
            <w:r>
              <w:rPr>
                <w:rFonts w:ascii="Arial" w:hAnsi="Arial" w:cs="Arial"/>
              </w:rPr>
              <w:t>A)</w:t>
            </w:r>
            <w:r w:rsidRPr="000D3E86">
              <w:rPr>
                <w:rFonts w:ascii="Arial" w:hAnsi="Arial" w:cs="Arial"/>
              </w:rPr>
              <w:t>Toma de la muestra:</w:t>
            </w:r>
          </w:p>
          <w:p w14:paraId="675ED788" w14:textId="77777777" w:rsidR="00214AF0" w:rsidRDefault="00214AF0" w:rsidP="004B4DE5">
            <w:pPr>
              <w:spacing w:after="0" w:line="240" w:lineRule="auto"/>
              <w:rPr>
                <w:rFonts w:ascii="Arial" w:hAnsi="Arial" w:cs="Arial"/>
              </w:rPr>
            </w:pPr>
            <w:r w:rsidRPr="000D3E86">
              <w:rPr>
                <w:rFonts w:ascii="Arial" w:hAnsi="Arial" w:cs="Arial"/>
              </w:rPr>
              <w:t>Las muestra</w:t>
            </w:r>
            <w:r>
              <w:rPr>
                <w:rFonts w:ascii="Arial" w:hAnsi="Arial" w:cs="Arial"/>
              </w:rPr>
              <w:t>s de LCR deben ser recolectadas por medio de punción lumbar</w:t>
            </w:r>
            <w:r w:rsidRPr="000D3E86">
              <w:rPr>
                <w:rFonts w:ascii="Arial" w:hAnsi="Arial" w:cs="Arial"/>
              </w:rPr>
              <w:t xml:space="preserve"> antes de la terapia antimicro</w:t>
            </w:r>
            <w:r>
              <w:rPr>
                <w:rFonts w:ascii="Arial" w:hAnsi="Arial" w:cs="Arial"/>
              </w:rPr>
              <w:t>biana y por el médico tratante.</w:t>
            </w:r>
          </w:p>
          <w:p w14:paraId="3C7F64B5" w14:textId="77777777" w:rsidR="00214AF0" w:rsidRPr="000D3E86" w:rsidRDefault="00214AF0" w:rsidP="004B4DE5">
            <w:pPr>
              <w:spacing w:after="0" w:line="240" w:lineRule="auto"/>
              <w:rPr>
                <w:rFonts w:ascii="Arial" w:hAnsi="Arial" w:cs="Arial"/>
              </w:rPr>
            </w:pPr>
            <w:r>
              <w:rPr>
                <w:rFonts w:ascii="Arial" w:hAnsi="Arial" w:cs="Arial"/>
              </w:rPr>
              <w:t xml:space="preserve">B) </w:t>
            </w:r>
            <w:r w:rsidRPr="000D3E86">
              <w:rPr>
                <w:rFonts w:ascii="Arial" w:hAnsi="Arial" w:cs="Arial"/>
              </w:rPr>
              <w:t>Análisis macroscópico de la muestra, examen directo e inoculación en medios de cultivo</w:t>
            </w:r>
          </w:p>
          <w:p w14:paraId="7E474798" w14:textId="77777777" w:rsidR="00214AF0" w:rsidRPr="000D3E86" w:rsidRDefault="00214AF0" w:rsidP="004B4DE5">
            <w:pPr>
              <w:spacing w:after="0" w:line="240" w:lineRule="auto"/>
              <w:rPr>
                <w:rFonts w:ascii="Arial" w:hAnsi="Arial" w:cs="Arial"/>
              </w:rPr>
            </w:pPr>
            <w:r w:rsidRPr="000D3E86">
              <w:rPr>
                <w:rFonts w:ascii="Arial" w:hAnsi="Arial" w:cs="Arial"/>
              </w:rPr>
              <w:t xml:space="preserve">1.Registre los datos personales del paciente y elabore una ficha de laboratorio con los datos epidemiológicos y clínicos del paciente, según anexo 1 (consulte la historia clínica del paciente o comuníquese con el médico tratante). </w:t>
            </w:r>
          </w:p>
          <w:p w14:paraId="0F929C3D" w14:textId="77777777" w:rsidR="00214AF0" w:rsidRPr="000D3E86" w:rsidRDefault="00214AF0" w:rsidP="004B4DE5">
            <w:pPr>
              <w:spacing w:after="0" w:line="240" w:lineRule="auto"/>
              <w:rPr>
                <w:rFonts w:ascii="Arial" w:hAnsi="Arial" w:cs="Arial"/>
              </w:rPr>
            </w:pPr>
            <w:r w:rsidRPr="000D3E86">
              <w:rPr>
                <w:rFonts w:ascii="Arial" w:hAnsi="Arial" w:cs="Arial"/>
              </w:rPr>
              <w:t>2.Registre el volumen, apariencia y/o color del LCR.</w:t>
            </w:r>
          </w:p>
          <w:p w14:paraId="06809A1E" w14:textId="77777777" w:rsidR="00214AF0" w:rsidRPr="000D3E86" w:rsidRDefault="00214AF0" w:rsidP="004B4DE5">
            <w:pPr>
              <w:spacing w:after="0" w:line="240" w:lineRule="auto"/>
              <w:rPr>
                <w:rFonts w:ascii="Arial" w:hAnsi="Arial" w:cs="Arial"/>
              </w:rPr>
            </w:pPr>
            <w:r w:rsidRPr="000D3E86">
              <w:rPr>
                <w:rFonts w:ascii="Arial" w:hAnsi="Arial" w:cs="Arial"/>
              </w:rPr>
              <w:t>3.Recuerde que de acuerdo al volumen del LCR, usted decidirá si se debe centrifugar o no muestra (volumen mayor de 1 ml centrifugar a 3.000 rpm durante 10 minutos)</w:t>
            </w:r>
          </w:p>
          <w:p w14:paraId="0EA52F18" w14:textId="77777777" w:rsidR="00214AF0" w:rsidRPr="000D3E86" w:rsidRDefault="00214AF0" w:rsidP="004B4DE5">
            <w:pPr>
              <w:spacing w:after="0" w:line="240" w:lineRule="auto"/>
              <w:rPr>
                <w:rFonts w:ascii="Arial" w:hAnsi="Arial" w:cs="Arial"/>
              </w:rPr>
            </w:pPr>
            <w:r w:rsidRPr="000D3E86">
              <w:rPr>
                <w:rFonts w:ascii="Arial" w:hAnsi="Arial" w:cs="Arial"/>
              </w:rPr>
              <w:t xml:space="preserve">4. Con una gota de la muestra obtenida en el punto 3, prepare un frotis sin extender para ser teñido con la coloración de Gram. </w:t>
            </w:r>
          </w:p>
          <w:p w14:paraId="720C560D" w14:textId="77777777" w:rsidR="00214AF0" w:rsidRPr="000D3E86" w:rsidRDefault="00214AF0" w:rsidP="004B4DE5">
            <w:pPr>
              <w:spacing w:after="0" w:line="240" w:lineRule="auto"/>
              <w:rPr>
                <w:rFonts w:ascii="Arial" w:hAnsi="Arial" w:cs="Arial"/>
              </w:rPr>
            </w:pPr>
            <w:r w:rsidRPr="000D3E86">
              <w:rPr>
                <w:rFonts w:ascii="Arial" w:hAnsi="Arial" w:cs="Arial"/>
              </w:rPr>
              <w:t>6.Los resultados del Gram deben comunicarse inmediatamente al médico tratante</w:t>
            </w:r>
          </w:p>
          <w:p w14:paraId="5E4E229D" w14:textId="77777777" w:rsidR="00214AF0" w:rsidRPr="000D3E86" w:rsidRDefault="00214AF0" w:rsidP="004B4DE5">
            <w:pPr>
              <w:spacing w:after="0" w:line="240" w:lineRule="auto"/>
              <w:rPr>
                <w:rFonts w:ascii="Arial" w:hAnsi="Arial" w:cs="Arial"/>
              </w:rPr>
            </w:pPr>
            <w:r w:rsidRPr="000D3E86">
              <w:rPr>
                <w:rFonts w:ascii="Arial" w:hAnsi="Arial" w:cs="Arial"/>
              </w:rPr>
              <w:t>8.Tome una o dos gotas del LCR con una pipeta Pasteur estéril e inocule los medios de cultivo sólidos (agar sangre y agar chocolate) y líquidos.</w:t>
            </w:r>
          </w:p>
          <w:p w14:paraId="7692BE78" w14:textId="77777777" w:rsidR="00214AF0" w:rsidRPr="000D3E86" w:rsidRDefault="00214AF0" w:rsidP="004B4DE5">
            <w:pPr>
              <w:spacing w:after="0" w:line="240" w:lineRule="auto"/>
              <w:rPr>
                <w:rFonts w:ascii="Arial" w:hAnsi="Arial" w:cs="Arial"/>
              </w:rPr>
            </w:pPr>
            <w:r w:rsidRPr="000D3E86">
              <w:rPr>
                <w:rFonts w:ascii="Arial" w:hAnsi="Arial" w:cs="Arial"/>
              </w:rPr>
              <w:lastRenderedPageBreak/>
              <w:t>9.Si el laboratorio cuenta con pruebas para detección de antígeno, realice estas pruebas con una pequeña cantidad de la muestra de LCR, o utilice el sobrenadante del LCR obtenido en el punto 3.</w:t>
            </w:r>
          </w:p>
          <w:p w14:paraId="76A1EED6" w14:textId="77777777" w:rsidR="00214AF0" w:rsidRPr="000D3E86" w:rsidRDefault="00214AF0" w:rsidP="004B4DE5">
            <w:pPr>
              <w:spacing w:after="0" w:line="240" w:lineRule="auto"/>
              <w:rPr>
                <w:rFonts w:ascii="Arial" w:hAnsi="Arial" w:cs="Arial"/>
              </w:rPr>
            </w:pPr>
            <w:r w:rsidRPr="000D3E86">
              <w:rPr>
                <w:rFonts w:ascii="Arial" w:hAnsi="Arial" w:cs="Arial"/>
              </w:rPr>
              <w:t xml:space="preserve">10.Incube los medios de cultivo sólidos en atmósfera de microaerofilia (10% CO2 ) y los líquidos en aerobiosis a 36 ºC. </w:t>
            </w:r>
          </w:p>
          <w:p w14:paraId="3D5481A7" w14:textId="77777777" w:rsidR="00214AF0" w:rsidRPr="0011106C" w:rsidRDefault="00214AF0" w:rsidP="004B4DE5">
            <w:pPr>
              <w:spacing w:after="0" w:line="240" w:lineRule="auto"/>
              <w:rPr>
                <w:rFonts w:ascii="Arial" w:hAnsi="Arial" w:cs="Arial"/>
                <w:b/>
              </w:rPr>
            </w:pPr>
            <w:r w:rsidRPr="000D3E86">
              <w:rPr>
                <w:rFonts w:ascii="Arial" w:hAnsi="Arial" w:cs="Arial"/>
              </w:rPr>
              <w:t>11.Revise los cultivos a las 24 horas.</w:t>
            </w:r>
          </w:p>
        </w:tc>
      </w:tr>
      <w:tr w:rsidR="00214AF0" w:rsidRPr="0011106C" w14:paraId="50BB0C56" w14:textId="77777777" w:rsidTr="004B4DE5">
        <w:tc>
          <w:tcPr>
            <w:tcW w:w="9240" w:type="dxa"/>
            <w:gridSpan w:val="5"/>
            <w:shd w:val="clear" w:color="auto" w:fill="F2F2F2" w:themeFill="background1" w:themeFillShade="F2"/>
          </w:tcPr>
          <w:p w14:paraId="5E0714EF" w14:textId="77777777" w:rsidR="00214AF0" w:rsidRPr="0011106C" w:rsidRDefault="00214AF0" w:rsidP="004B4DE5">
            <w:pPr>
              <w:spacing w:after="0"/>
              <w:jc w:val="both"/>
              <w:textAlignment w:val="baseline"/>
              <w:rPr>
                <w:rFonts w:ascii="Arial" w:hAnsi="Arial" w:cs="Arial"/>
                <w:b/>
              </w:rPr>
            </w:pPr>
            <w:r w:rsidRPr="0011106C">
              <w:rPr>
                <w:rFonts w:ascii="Arial" w:hAnsi="Arial" w:cs="Arial"/>
                <w:b/>
              </w:rPr>
              <w:lastRenderedPageBreak/>
              <w:t>RESULTADO (Gráficos, cálculos, etc.)</w:t>
            </w:r>
          </w:p>
        </w:tc>
      </w:tr>
      <w:tr w:rsidR="00214AF0" w:rsidRPr="0011106C" w14:paraId="328F3F0E" w14:textId="77777777" w:rsidTr="004B4DE5">
        <w:trPr>
          <w:trHeight w:val="7730"/>
        </w:trPr>
        <w:tc>
          <w:tcPr>
            <w:tcW w:w="9240" w:type="dxa"/>
            <w:gridSpan w:val="5"/>
          </w:tcPr>
          <w:p w14:paraId="32D50E38" w14:textId="77777777" w:rsidR="00214AF0" w:rsidRPr="0011106C" w:rsidRDefault="00214AF0" w:rsidP="004B4DE5">
            <w:pPr>
              <w:spacing w:before="100" w:beforeAutospacing="1" w:after="100" w:afterAutospacing="1" w:line="240" w:lineRule="auto"/>
              <w:jc w:val="center"/>
              <w:rPr>
                <w:rFonts w:ascii="Arial" w:hAnsi="Arial" w:cs="Arial"/>
              </w:rPr>
            </w:pPr>
            <w:r>
              <w:rPr>
                <w:noProof/>
                <w:lang w:val="es-ES" w:eastAsia="es-ES"/>
              </w:rPr>
              <w:drawing>
                <wp:inline distT="0" distB="0" distL="0" distR="0" wp14:anchorId="445860EF" wp14:editId="0D8B875F">
                  <wp:extent cx="5486400" cy="444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4448175"/>
                          </a:xfrm>
                          <a:prstGeom prst="rect">
                            <a:avLst/>
                          </a:prstGeom>
                        </pic:spPr>
                      </pic:pic>
                    </a:graphicData>
                  </a:graphic>
                </wp:inline>
              </w:drawing>
            </w:r>
          </w:p>
        </w:tc>
      </w:tr>
      <w:tr w:rsidR="00214AF0" w:rsidRPr="0011106C" w14:paraId="1A04B39D" w14:textId="77777777" w:rsidTr="004B4DE5">
        <w:tc>
          <w:tcPr>
            <w:tcW w:w="9240" w:type="dxa"/>
            <w:gridSpan w:val="5"/>
            <w:shd w:val="clear" w:color="auto" w:fill="F2F2F2" w:themeFill="background1" w:themeFillShade="F2"/>
          </w:tcPr>
          <w:p w14:paraId="3C72C537" w14:textId="77777777" w:rsidR="00214AF0" w:rsidRPr="0011106C" w:rsidRDefault="00214AF0" w:rsidP="004B4DE5">
            <w:pPr>
              <w:spacing w:after="0"/>
              <w:jc w:val="both"/>
              <w:textAlignment w:val="baseline"/>
              <w:rPr>
                <w:rFonts w:ascii="Arial" w:hAnsi="Arial" w:cs="Arial"/>
                <w:b/>
              </w:rPr>
            </w:pPr>
            <w:r w:rsidRPr="0011106C">
              <w:rPr>
                <w:rFonts w:ascii="Arial" w:hAnsi="Arial" w:cs="Arial"/>
                <w:b/>
              </w:rPr>
              <w:t>OBSERVACIONES</w:t>
            </w:r>
          </w:p>
        </w:tc>
      </w:tr>
      <w:tr w:rsidR="00214AF0" w:rsidRPr="0011106C" w14:paraId="4A69B403" w14:textId="77777777" w:rsidTr="004B4DE5">
        <w:trPr>
          <w:trHeight w:val="122"/>
        </w:trPr>
        <w:tc>
          <w:tcPr>
            <w:tcW w:w="9240" w:type="dxa"/>
            <w:gridSpan w:val="5"/>
          </w:tcPr>
          <w:p w14:paraId="416B3F57" w14:textId="77777777" w:rsidR="00214AF0" w:rsidRPr="0011106C" w:rsidRDefault="00214AF0" w:rsidP="004B4DE5">
            <w:pPr>
              <w:spacing w:after="0" w:line="240" w:lineRule="auto"/>
              <w:rPr>
                <w:rFonts w:ascii="Arial" w:hAnsi="Arial" w:cs="Arial"/>
              </w:rPr>
            </w:pPr>
          </w:p>
        </w:tc>
      </w:tr>
      <w:tr w:rsidR="00214AF0" w:rsidRPr="0011106C" w14:paraId="2BC7C548" w14:textId="77777777" w:rsidTr="004B4DE5">
        <w:tc>
          <w:tcPr>
            <w:tcW w:w="9240" w:type="dxa"/>
            <w:gridSpan w:val="5"/>
            <w:shd w:val="clear" w:color="auto" w:fill="F2F2F2" w:themeFill="background1" w:themeFillShade="F2"/>
          </w:tcPr>
          <w:p w14:paraId="542BB4E6" w14:textId="77777777" w:rsidR="00214AF0" w:rsidRPr="0011106C" w:rsidRDefault="00214AF0" w:rsidP="004B4DE5">
            <w:pPr>
              <w:spacing w:after="0"/>
              <w:jc w:val="both"/>
              <w:textAlignment w:val="baseline"/>
              <w:rPr>
                <w:rFonts w:ascii="Arial" w:hAnsi="Arial" w:cs="Arial"/>
                <w:b/>
              </w:rPr>
            </w:pPr>
            <w:r w:rsidRPr="0011106C">
              <w:rPr>
                <w:rFonts w:ascii="Arial" w:hAnsi="Arial" w:cs="Arial"/>
                <w:b/>
              </w:rPr>
              <w:t>CONCLUSIONES</w:t>
            </w:r>
          </w:p>
        </w:tc>
      </w:tr>
      <w:tr w:rsidR="00214AF0" w:rsidRPr="0011106C" w14:paraId="48383AFF" w14:textId="77777777" w:rsidTr="004B4DE5">
        <w:tc>
          <w:tcPr>
            <w:tcW w:w="9240" w:type="dxa"/>
            <w:gridSpan w:val="5"/>
            <w:shd w:val="clear" w:color="auto" w:fill="auto"/>
          </w:tcPr>
          <w:p w14:paraId="29E819F3" w14:textId="77777777" w:rsidR="00214AF0" w:rsidRPr="0011106C" w:rsidRDefault="00214AF0" w:rsidP="004B4DE5">
            <w:pPr>
              <w:spacing w:after="0"/>
              <w:jc w:val="both"/>
              <w:textAlignment w:val="baseline"/>
              <w:rPr>
                <w:rFonts w:ascii="Arial" w:hAnsi="Arial" w:cs="Arial"/>
              </w:rPr>
            </w:pPr>
            <w:r w:rsidRPr="0011106C">
              <w:rPr>
                <w:rFonts w:ascii="Arial" w:hAnsi="Arial" w:cs="Arial"/>
              </w:rPr>
              <w:t>1.-Los estudiantes aplicaron los conocimientos sobre técnicas de toma de muestra y procesamiento  adecuado para el diagnóstico</w:t>
            </w:r>
            <w:r>
              <w:rPr>
                <w:rFonts w:ascii="Arial" w:hAnsi="Arial" w:cs="Arial"/>
              </w:rPr>
              <w:t xml:space="preserve"> de infecciones del sistema nervioso</w:t>
            </w:r>
          </w:p>
        </w:tc>
      </w:tr>
      <w:tr w:rsidR="00214AF0" w:rsidRPr="0011106C" w14:paraId="0CAD6363" w14:textId="77777777" w:rsidTr="004B4DE5">
        <w:tc>
          <w:tcPr>
            <w:tcW w:w="9240" w:type="dxa"/>
            <w:gridSpan w:val="5"/>
            <w:shd w:val="clear" w:color="auto" w:fill="F2F2F2" w:themeFill="background1" w:themeFillShade="F2"/>
          </w:tcPr>
          <w:p w14:paraId="303C1990" w14:textId="77777777" w:rsidR="00214AF0" w:rsidRPr="0011106C" w:rsidRDefault="00214AF0" w:rsidP="004B4DE5">
            <w:pPr>
              <w:spacing w:after="0"/>
              <w:jc w:val="both"/>
              <w:textAlignment w:val="baseline"/>
              <w:rPr>
                <w:rFonts w:ascii="Arial" w:hAnsi="Arial" w:cs="Arial"/>
                <w:b/>
              </w:rPr>
            </w:pPr>
            <w:r w:rsidRPr="0011106C">
              <w:rPr>
                <w:rFonts w:ascii="Arial" w:hAnsi="Arial" w:cs="Arial"/>
                <w:b/>
              </w:rPr>
              <w:t>RECOMENDACIONES</w:t>
            </w:r>
          </w:p>
        </w:tc>
      </w:tr>
      <w:tr w:rsidR="00214AF0" w:rsidRPr="0011106C" w14:paraId="5C5DEFDA" w14:textId="77777777" w:rsidTr="004B4DE5">
        <w:tc>
          <w:tcPr>
            <w:tcW w:w="9240" w:type="dxa"/>
            <w:gridSpan w:val="5"/>
          </w:tcPr>
          <w:p w14:paraId="72CA77AC" w14:textId="77777777" w:rsidR="00214AF0" w:rsidRPr="0011106C" w:rsidRDefault="00214AF0" w:rsidP="004B4DE5">
            <w:pPr>
              <w:spacing w:after="0" w:line="240" w:lineRule="auto"/>
              <w:rPr>
                <w:rFonts w:ascii="Arial" w:hAnsi="Arial" w:cs="Arial"/>
              </w:rPr>
            </w:pPr>
            <w:r w:rsidRPr="0011106C">
              <w:rPr>
                <w:rFonts w:ascii="Arial" w:hAnsi="Arial" w:cs="Arial"/>
              </w:rPr>
              <w:t>Aplicar las medidas de bioseguridad en el laboratorio uso de guates, tapabocas, mandil , pelo recogido</w:t>
            </w:r>
          </w:p>
        </w:tc>
      </w:tr>
      <w:tr w:rsidR="00214AF0" w:rsidRPr="0011106C" w14:paraId="6FBF3DF4" w14:textId="77777777" w:rsidTr="004B4DE5">
        <w:tc>
          <w:tcPr>
            <w:tcW w:w="9240" w:type="dxa"/>
            <w:gridSpan w:val="5"/>
          </w:tcPr>
          <w:p w14:paraId="1AC76D77" w14:textId="77777777" w:rsidR="00214AF0" w:rsidRPr="0011106C" w:rsidRDefault="00214AF0" w:rsidP="004B4DE5">
            <w:pPr>
              <w:tabs>
                <w:tab w:val="left" w:pos="1898"/>
              </w:tabs>
              <w:spacing w:after="0" w:line="240" w:lineRule="auto"/>
              <w:rPr>
                <w:rFonts w:ascii="Arial" w:hAnsi="Arial" w:cs="Arial"/>
              </w:rPr>
            </w:pPr>
            <w:r w:rsidRPr="0011106C">
              <w:rPr>
                <w:rFonts w:ascii="Arial" w:hAnsi="Arial" w:cs="Arial"/>
                <w:b/>
              </w:rPr>
              <w:t>BIBLIOGRAFÍA</w:t>
            </w:r>
          </w:p>
        </w:tc>
      </w:tr>
      <w:tr w:rsidR="00214AF0" w:rsidRPr="0011106C" w14:paraId="76D24872" w14:textId="77777777" w:rsidTr="004B4DE5">
        <w:tc>
          <w:tcPr>
            <w:tcW w:w="9240" w:type="dxa"/>
            <w:gridSpan w:val="5"/>
          </w:tcPr>
          <w:p w14:paraId="16B89DAC" w14:textId="77777777" w:rsidR="00214AF0" w:rsidRPr="0011106C" w:rsidRDefault="00214AF0" w:rsidP="004B4DE5">
            <w:pPr>
              <w:autoSpaceDE w:val="0"/>
              <w:autoSpaceDN w:val="0"/>
              <w:adjustRightInd w:val="0"/>
              <w:spacing w:after="0" w:line="240" w:lineRule="auto"/>
              <w:rPr>
                <w:rFonts w:ascii="Arial" w:hAnsi="Arial" w:cs="Arial"/>
                <w:lang w:val="es-ES"/>
              </w:rPr>
            </w:pPr>
            <w:r w:rsidRPr="0011106C">
              <w:rPr>
                <w:rFonts w:ascii="Arial" w:hAnsi="Arial" w:cs="Arial"/>
                <w:color w:val="000000"/>
                <w:lang w:val="es-ES"/>
              </w:rPr>
              <w:t>Microbiologia en Práctica de Jawets, Melnick y Adelberg E. Alche Editorial Atlante s.r.l</w:t>
            </w:r>
          </w:p>
          <w:p w14:paraId="438595D8" w14:textId="77777777" w:rsidR="00214AF0" w:rsidRPr="0011106C" w:rsidRDefault="00214AF0" w:rsidP="004B4DE5">
            <w:pPr>
              <w:spacing w:after="0"/>
              <w:ind w:left="-8"/>
              <w:rPr>
                <w:rFonts w:ascii="Arial" w:hAnsi="Arial" w:cs="Arial"/>
              </w:rPr>
            </w:pPr>
            <w:r w:rsidRPr="0011106C">
              <w:rPr>
                <w:rFonts w:ascii="Arial" w:hAnsi="Arial" w:cs="Arial"/>
                <w:color w:val="000000"/>
                <w:lang w:val="es-ES"/>
              </w:rPr>
              <w:t>Microbiologia Fuerst Nueva Editorial Interamericana</w:t>
            </w:r>
          </w:p>
        </w:tc>
      </w:tr>
      <w:tr w:rsidR="00214AF0" w:rsidRPr="0011106C" w14:paraId="32E34194" w14:textId="77777777" w:rsidTr="00214AF0">
        <w:trPr>
          <w:trHeight w:val="894"/>
        </w:trPr>
        <w:tc>
          <w:tcPr>
            <w:tcW w:w="2865" w:type="dxa"/>
            <w:gridSpan w:val="2"/>
            <w:vAlign w:val="bottom"/>
          </w:tcPr>
          <w:p w14:paraId="7C323A77" w14:textId="77777777" w:rsidR="00214AF0" w:rsidRDefault="00214AF0" w:rsidP="004B4DE5">
            <w:pPr>
              <w:spacing w:after="0" w:line="240" w:lineRule="auto"/>
              <w:rPr>
                <w:rFonts w:ascii="Arial" w:hAnsi="Arial" w:cs="Arial"/>
                <w:b/>
              </w:rPr>
            </w:pPr>
            <w:r>
              <w:rPr>
                <w:rFonts w:ascii="Arial" w:hAnsi="Arial" w:cs="Arial"/>
                <w:b/>
              </w:rPr>
              <w:t xml:space="preserve">   </w:t>
            </w:r>
          </w:p>
          <w:p w14:paraId="2DF9ED94" w14:textId="77777777" w:rsidR="00214AF0" w:rsidRDefault="00214AF0" w:rsidP="004B4DE5">
            <w:pPr>
              <w:spacing w:after="0" w:line="240" w:lineRule="auto"/>
              <w:rPr>
                <w:rFonts w:ascii="Arial" w:hAnsi="Arial" w:cs="Arial"/>
                <w:b/>
              </w:rPr>
            </w:pPr>
          </w:p>
          <w:p w14:paraId="681C1477" w14:textId="5CB89B36" w:rsidR="00214AF0" w:rsidRPr="0011106C" w:rsidRDefault="00214AF0" w:rsidP="001811EB">
            <w:pPr>
              <w:spacing w:after="0" w:line="240" w:lineRule="auto"/>
              <w:jc w:val="center"/>
              <w:rPr>
                <w:rFonts w:ascii="Arial" w:hAnsi="Arial" w:cs="Arial"/>
                <w:b/>
              </w:rPr>
            </w:pPr>
            <w:r>
              <w:rPr>
                <w:rFonts w:ascii="Arial" w:hAnsi="Arial" w:cs="Arial"/>
                <w:b/>
              </w:rPr>
              <w:t>XIMENA ROBALNO</w:t>
            </w:r>
          </w:p>
          <w:p w14:paraId="6A129349" w14:textId="31273BF6" w:rsidR="00214AF0" w:rsidRPr="0011106C" w:rsidRDefault="00214AF0" w:rsidP="001811EB">
            <w:pPr>
              <w:spacing w:after="0" w:line="240" w:lineRule="auto"/>
              <w:jc w:val="center"/>
              <w:rPr>
                <w:rFonts w:ascii="Arial" w:hAnsi="Arial" w:cs="Arial"/>
              </w:rPr>
            </w:pPr>
            <w:r w:rsidRPr="0011106C">
              <w:rPr>
                <w:rFonts w:ascii="Arial" w:hAnsi="Arial" w:cs="Arial"/>
                <w:b/>
              </w:rPr>
              <w:t>DIRECTOR/A DE CARRERA</w:t>
            </w:r>
          </w:p>
        </w:tc>
        <w:tc>
          <w:tcPr>
            <w:tcW w:w="3231" w:type="dxa"/>
            <w:vAlign w:val="bottom"/>
          </w:tcPr>
          <w:p w14:paraId="65A935C7" w14:textId="58BB653E" w:rsidR="00214AF0" w:rsidRPr="0011106C" w:rsidRDefault="00214AF0" w:rsidP="004B4DE5">
            <w:pPr>
              <w:spacing w:after="0" w:line="240" w:lineRule="auto"/>
              <w:rPr>
                <w:rFonts w:ascii="Arial" w:hAnsi="Arial" w:cs="Arial"/>
                <w:b/>
              </w:rPr>
            </w:pPr>
            <w:r>
              <w:rPr>
                <w:rFonts w:ascii="Arial" w:hAnsi="Arial" w:cs="Arial"/>
                <w:b/>
              </w:rPr>
              <w:t>ANA CAROLINA GONZÁLEZ</w:t>
            </w:r>
          </w:p>
          <w:p w14:paraId="27810077" w14:textId="77777777" w:rsidR="00214AF0" w:rsidRPr="0011106C" w:rsidRDefault="00214AF0" w:rsidP="004B4DE5">
            <w:pPr>
              <w:spacing w:after="0" w:line="240" w:lineRule="auto"/>
              <w:jc w:val="center"/>
              <w:rPr>
                <w:rFonts w:ascii="Arial" w:hAnsi="Arial" w:cs="Arial"/>
              </w:rPr>
            </w:pPr>
            <w:r w:rsidRPr="0011106C">
              <w:rPr>
                <w:rFonts w:ascii="Arial" w:hAnsi="Arial" w:cs="Arial"/>
                <w:b/>
              </w:rPr>
              <w:t>DOCENTE</w:t>
            </w:r>
          </w:p>
        </w:tc>
        <w:tc>
          <w:tcPr>
            <w:tcW w:w="3144" w:type="dxa"/>
            <w:gridSpan w:val="2"/>
            <w:vAlign w:val="bottom"/>
          </w:tcPr>
          <w:p w14:paraId="7006B84B" w14:textId="77777777" w:rsidR="001811EB" w:rsidRDefault="001811EB" w:rsidP="004B4DE5">
            <w:pPr>
              <w:spacing w:after="0" w:line="240" w:lineRule="auto"/>
              <w:jc w:val="center"/>
              <w:rPr>
                <w:rFonts w:ascii="Arial" w:hAnsi="Arial" w:cs="Arial"/>
                <w:b/>
              </w:rPr>
            </w:pPr>
          </w:p>
          <w:p w14:paraId="1AFBA1A9" w14:textId="493421EF" w:rsidR="00214AF0" w:rsidRDefault="001811EB" w:rsidP="004B4DE5">
            <w:pPr>
              <w:spacing w:after="0" w:line="240" w:lineRule="auto"/>
              <w:jc w:val="center"/>
              <w:rPr>
                <w:rFonts w:ascii="Arial" w:hAnsi="Arial" w:cs="Arial"/>
                <w:b/>
              </w:rPr>
            </w:pPr>
            <w:r>
              <w:rPr>
                <w:rFonts w:ascii="Arial" w:hAnsi="Arial" w:cs="Arial"/>
                <w:b/>
              </w:rPr>
              <w:t>ELIANA DE LA TORRE</w:t>
            </w:r>
          </w:p>
          <w:p w14:paraId="5DF8E0DD" w14:textId="62677743" w:rsidR="001811EB" w:rsidRPr="0011106C" w:rsidRDefault="001811EB" w:rsidP="004B4DE5">
            <w:pPr>
              <w:spacing w:after="0" w:line="240" w:lineRule="auto"/>
              <w:jc w:val="center"/>
              <w:rPr>
                <w:rFonts w:ascii="Arial" w:hAnsi="Arial" w:cs="Arial"/>
                <w:b/>
              </w:rPr>
            </w:pPr>
            <w:r>
              <w:rPr>
                <w:rFonts w:ascii="Arial" w:hAnsi="Arial" w:cs="Arial"/>
                <w:b/>
              </w:rPr>
              <w:t>TÉCNICO DE LABORATORIO</w:t>
            </w:r>
          </w:p>
          <w:p w14:paraId="42758E5C" w14:textId="77777777" w:rsidR="00214AF0" w:rsidRPr="0011106C" w:rsidRDefault="00214AF0" w:rsidP="004B4DE5">
            <w:pPr>
              <w:spacing w:after="0" w:line="240" w:lineRule="auto"/>
              <w:ind w:left="-113" w:right="-110"/>
              <w:jc w:val="center"/>
              <w:rPr>
                <w:rFonts w:ascii="Arial" w:hAnsi="Arial" w:cs="Arial"/>
              </w:rPr>
            </w:pPr>
          </w:p>
        </w:tc>
      </w:tr>
    </w:tbl>
    <w:p w14:paraId="5357A2A8" w14:textId="77777777" w:rsidR="00214AF0" w:rsidRDefault="00214AF0" w:rsidP="00854F7D">
      <w:pPr>
        <w:rPr>
          <w:rFonts w:ascii="Times New Roman" w:hAnsi="Times New Roman" w:cs="Times New Roman"/>
          <w:sz w:val="20"/>
          <w:szCs w:val="20"/>
        </w:rPr>
      </w:pPr>
    </w:p>
    <w:p w14:paraId="6407E357" w14:textId="77777777" w:rsidR="00214AF0" w:rsidRDefault="00214AF0" w:rsidP="00854F7D">
      <w:pPr>
        <w:rPr>
          <w:rFonts w:ascii="Times New Roman" w:hAnsi="Times New Roman" w:cs="Times New Roman"/>
          <w:sz w:val="20"/>
          <w:szCs w:val="20"/>
        </w:rPr>
      </w:pPr>
    </w:p>
    <w:p w14:paraId="1DA9786B" w14:textId="77777777" w:rsidR="00214AF0" w:rsidRDefault="00214AF0" w:rsidP="00854F7D">
      <w:pPr>
        <w:rPr>
          <w:rFonts w:ascii="Times New Roman" w:hAnsi="Times New Roman" w:cs="Times New Roman"/>
          <w:sz w:val="20"/>
          <w:szCs w:val="20"/>
        </w:rPr>
      </w:pPr>
    </w:p>
    <w:p w14:paraId="097D655C" w14:textId="77777777" w:rsidR="00214AF0" w:rsidRDefault="00214AF0" w:rsidP="00854F7D">
      <w:pPr>
        <w:rPr>
          <w:rFonts w:ascii="Times New Roman" w:hAnsi="Times New Roman" w:cs="Times New Roman"/>
          <w:sz w:val="20"/>
          <w:szCs w:val="20"/>
        </w:rPr>
      </w:pPr>
    </w:p>
    <w:p w14:paraId="2AA62EA6" w14:textId="77777777" w:rsidR="00214AF0" w:rsidRPr="00854F7D" w:rsidRDefault="00214AF0" w:rsidP="00854F7D">
      <w:pPr>
        <w:rPr>
          <w:rFonts w:ascii="Times New Roman" w:hAnsi="Times New Roman" w:cs="Times New Roman"/>
          <w:sz w:val="20"/>
          <w:szCs w:val="20"/>
        </w:rPr>
      </w:pPr>
    </w:p>
    <w:sectPr w:rsidR="00214AF0" w:rsidRPr="00854F7D" w:rsidSect="007F083D">
      <w:headerReference w:type="default" r:id="rId9"/>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E11D" w14:textId="77777777" w:rsidR="00AE6DDE" w:rsidRDefault="00AE6DDE">
      <w:pPr>
        <w:spacing w:after="0" w:line="240" w:lineRule="auto"/>
      </w:pPr>
      <w:r>
        <w:separator/>
      </w:r>
    </w:p>
  </w:endnote>
  <w:endnote w:type="continuationSeparator" w:id="0">
    <w:p w14:paraId="54C2DC18" w14:textId="77777777" w:rsidR="00AE6DDE" w:rsidRDefault="00AE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7069" w14:textId="77777777" w:rsidR="00AE6DDE" w:rsidRDefault="00AE6DDE">
      <w:pPr>
        <w:spacing w:after="0" w:line="240" w:lineRule="auto"/>
      </w:pPr>
      <w:r>
        <w:separator/>
      </w:r>
    </w:p>
  </w:footnote>
  <w:footnote w:type="continuationSeparator" w:id="0">
    <w:p w14:paraId="16D75E9C" w14:textId="77777777" w:rsidR="00AE6DDE" w:rsidRDefault="00AE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850464" w14:paraId="1B62EF20" w14:textId="77777777" w:rsidTr="007F083D">
      <w:trPr>
        <w:jc w:val="center"/>
      </w:trPr>
      <w:tc>
        <w:tcPr>
          <w:tcW w:w="2977" w:type="dxa"/>
          <w:vAlign w:val="center"/>
        </w:tcPr>
        <w:p w14:paraId="4764E1F6" w14:textId="77777777" w:rsidR="00850464" w:rsidRDefault="00236E5E" w:rsidP="007F083D">
          <w:pPr>
            <w:pStyle w:val="Encabezado"/>
            <w:jc w:val="center"/>
          </w:pPr>
          <w:r>
            <w:rPr>
              <w:noProof/>
              <w:lang w:val="es-ES" w:eastAsia="es-ES"/>
            </w:rPr>
            <w:drawing>
              <wp:inline distT="0" distB="0" distL="0" distR="0" wp14:anchorId="234CAE4B" wp14:editId="4FC74B4A">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6379" w:type="dxa"/>
        </w:tcPr>
        <w:p w14:paraId="043D769C" w14:textId="77777777" w:rsidR="00850464"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14:paraId="44FBE2CA" w14:textId="77777777" w:rsidR="00850464"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14:paraId="0E3827FE" w14:textId="77777777" w:rsidR="00850464"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2326CB">
            <w:rPr>
              <w:rFonts w:ascii="Arial" w:hAnsi="Arial" w:cs="Arial"/>
              <w:b/>
            </w:rPr>
            <w:t>ÍNICO E HISTOPATOLÓ</w:t>
          </w:r>
          <w:r w:rsidR="008B7133">
            <w:rPr>
              <w:rFonts w:ascii="Arial" w:hAnsi="Arial" w:cs="Arial"/>
              <w:b/>
            </w:rPr>
            <w:t>GICO</w:t>
          </w:r>
        </w:p>
      </w:tc>
    </w:tr>
  </w:tbl>
  <w:p w14:paraId="3D7C6CC7" w14:textId="77777777" w:rsidR="00850464" w:rsidRPr="008E2B47" w:rsidRDefault="00AE6DDE">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0AEDBC"/>
    <w:lvl w:ilvl="0">
      <w:numFmt w:val="bullet"/>
      <w:lvlText w:val="*"/>
      <w:lvlJc w:val="left"/>
    </w:lvl>
  </w:abstractNum>
  <w:abstractNum w:abstractNumId="1" w15:restartNumberingAfterBreak="0">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3" w15:restartNumberingAfterBreak="0">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26" w15:restartNumberingAfterBreak="0">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3"/>
  </w:num>
  <w:num w:numId="5">
    <w:abstractNumId w:val="20"/>
  </w:num>
  <w:num w:numId="6">
    <w:abstractNumId w:val="16"/>
  </w:num>
  <w:num w:numId="7">
    <w:abstractNumId w:val="18"/>
  </w:num>
  <w:num w:numId="8">
    <w:abstractNumId w:val="8"/>
  </w:num>
  <w:num w:numId="9">
    <w:abstractNumId w:val="12"/>
  </w:num>
  <w:num w:numId="10">
    <w:abstractNumId w:val="5"/>
  </w:num>
  <w:num w:numId="11">
    <w:abstractNumId w:val="28"/>
  </w:num>
  <w:num w:numId="12">
    <w:abstractNumId w:val="29"/>
  </w:num>
  <w:num w:numId="13">
    <w:abstractNumId w:val="22"/>
  </w:num>
  <w:num w:numId="14">
    <w:abstractNumId w:val="9"/>
  </w:num>
  <w:num w:numId="15">
    <w:abstractNumId w:val="26"/>
  </w:num>
  <w:num w:numId="16">
    <w:abstractNumId w:val="2"/>
  </w:num>
  <w:num w:numId="17">
    <w:abstractNumId w:val="24"/>
  </w:num>
  <w:num w:numId="18">
    <w:abstractNumId w:val="3"/>
  </w:num>
  <w:num w:numId="19">
    <w:abstractNumId w:val="7"/>
  </w:num>
  <w:num w:numId="20">
    <w:abstractNumId w:val="6"/>
  </w:num>
  <w:num w:numId="21">
    <w:abstractNumId w:val="11"/>
  </w:num>
  <w:num w:numId="22">
    <w:abstractNumId w:val="27"/>
  </w:num>
  <w:num w:numId="23">
    <w:abstractNumId w:val="23"/>
  </w:num>
  <w:num w:numId="24">
    <w:abstractNumId w:val="19"/>
  </w:num>
  <w:num w:numId="25">
    <w:abstractNumId w:val="10"/>
  </w:num>
  <w:num w:numId="26">
    <w:abstractNumId w:val="25"/>
  </w:num>
  <w:num w:numId="27">
    <w:abstractNumId w:val="17"/>
  </w:num>
  <w:num w:numId="28">
    <w:abstractNumId w:val="14"/>
  </w:num>
  <w:num w:numId="29">
    <w:abstractNumId w:val="21"/>
  </w:num>
  <w:num w:numId="30">
    <w:abstractNumId w:val="0"/>
    <w:lvlOverride w:ilvl="0">
      <w:lvl w:ilvl="0">
        <w:numFmt w:val="bullet"/>
        <w:lvlText w:val=""/>
        <w:legacy w:legacy="1" w:legacySpace="0" w:legacyIndent="0"/>
        <w:lvlJc w:val="left"/>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BE"/>
    <w:rsid w:val="00017DEB"/>
    <w:rsid w:val="000277E3"/>
    <w:rsid w:val="00042CD7"/>
    <w:rsid w:val="00053A62"/>
    <w:rsid w:val="000A483B"/>
    <w:rsid w:val="000B6940"/>
    <w:rsid w:val="000D3E86"/>
    <w:rsid w:val="000D5225"/>
    <w:rsid w:val="000E32B1"/>
    <w:rsid w:val="0011106C"/>
    <w:rsid w:val="00135732"/>
    <w:rsid w:val="001445F4"/>
    <w:rsid w:val="00152A12"/>
    <w:rsid w:val="00171099"/>
    <w:rsid w:val="00173C80"/>
    <w:rsid w:val="001811EB"/>
    <w:rsid w:val="001D716C"/>
    <w:rsid w:val="001E2DC2"/>
    <w:rsid w:val="00206776"/>
    <w:rsid w:val="00214AF0"/>
    <w:rsid w:val="002326CB"/>
    <w:rsid w:val="00236E5E"/>
    <w:rsid w:val="0024476F"/>
    <w:rsid w:val="00255E68"/>
    <w:rsid w:val="002842DE"/>
    <w:rsid w:val="00317F33"/>
    <w:rsid w:val="00325053"/>
    <w:rsid w:val="0034410A"/>
    <w:rsid w:val="00354069"/>
    <w:rsid w:val="003A095E"/>
    <w:rsid w:val="003F1BF0"/>
    <w:rsid w:val="00423B95"/>
    <w:rsid w:val="004522EE"/>
    <w:rsid w:val="00453906"/>
    <w:rsid w:val="00464738"/>
    <w:rsid w:val="004A3A38"/>
    <w:rsid w:val="004C258F"/>
    <w:rsid w:val="004C715B"/>
    <w:rsid w:val="004E60A0"/>
    <w:rsid w:val="004F063D"/>
    <w:rsid w:val="005118FD"/>
    <w:rsid w:val="0051243F"/>
    <w:rsid w:val="00520D45"/>
    <w:rsid w:val="00523D00"/>
    <w:rsid w:val="0052490F"/>
    <w:rsid w:val="00562D8F"/>
    <w:rsid w:val="00563B2E"/>
    <w:rsid w:val="00576476"/>
    <w:rsid w:val="005B2F75"/>
    <w:rsid w:val="005E0C7B"/>
    <w:rsid w:val="00636E84"/>
    <w:rsid w:val="0064057B"/>
    <w:rsid w:val="00643644"/>
    <w:rsid w:val="00683699"/>
    <w:rsid w:val="006C016F"/>
    <w:rsid w:val="006D6026"/>
    <w:rsid w:val="00700AEC"/>
    <w:rsid w:val="007127E4"/>
    <w:rsid w:val="00723736"/>
    <w:rsid w:val="00755210"/>
    <w:rsid w:val="0075741D"/>
    <w:rsid w:val="00774AA1"/>
    <w:rsid w:val="00795D1D"/>
    <w:rsid w:val="007C0660"/>
    <w:rsid w:val="007C5673"/>
    <w:rsid w:val="007F083D"/>
    <w:rsid w:val="00822CBE"/>
    <w:rsid w:val="00854F7D"/>
    <w:rsid w:val="00865806"/>
    <w:rsid w:val="008837FC"/>
    <w:rsid w:val="008B7133"/>
    <w:rsid w:val="00904876"/>
    <w:rsid w:val="009063C7"/>
    <w:rsid w:val="009075AF"/>
    <w:rsid w:val="00944416"/>
    <w:rsid w:val="009658C4"/>
    <w:rsid w:val="009659AB"/>
    <w:rsid w:val="009A0B0D"/>
    <w:rsid w:val="009B04BD"/>
    <w:rsid w:val="00AA3136"/>
    <w:rsid w:val="00AB77FD"/>
    <w:rsid w:val="00AC10E1"/>
    <w:rsid w:val="00AE6DDE"/>
    <w:rsid w:val="00AF16A2"/>
    <w:rsid w:val="00B02DA6"/>
    <w:rsid w:val="00B919AA"/>
    <w:rsid w:val="00BA07D3"/>
    <w:rsid w:val="00BB3713"/>
    <w:rsid w:val="00BB6D2F"/>
    <w:rsid w:val="00BC59D3"/>
    <w:rsid w:val="00BD0CA7"/>
    <w:rsid w:val="00BF5E87"/>
    <w:rsid w:val="00C01156"/>
    <w:rsid w:val="00C03BD5"/>
    <w:rsid w:val="00C34D6F"/>
    <w:rsid w:val="00C419A6"/>
    <w:rsid w:val="00C45424"/>
    <w:rsid w:val="00C463BE"/>
    <w:rsid w:val="00C5277D"/>
    <w:rsid w:val="00C67120"/>
    <w:rsid w:val="00CD3B07"/>
    <w:rsid w:val="00D103A2"/>
    <w:rsid w:val="00D11014"/>
    <w:rsid w:val="00D33983"/>
    <w:rsid w:val="00D440B5"/>
    <w:rsid w:val="00D5129D"/>
    <w:rsid w:val="00DE34A4"/>
    <w:rsid w:val="00E031E9"/>
    <w:rsid w:val="00E070A7"/>
    <w:rsid w:val="00E1766F"/>
    <w:rsid w:val="00E53F69"/>
    <w:rsid w:val="00E663C5"/>
    <w:rsid w:val="00E813AD"/>
    <w:rsid w:val="00E840C4"/>
    <w:rsid w:val="00EA7093"/>
    <w:rsid w:val="00EC610B"/>
    <w:rsid w:val="00EE0D70"/>
    <w:rsid w:val="00EE4BDD"/>
    <w:rsid w:val="00F2058A"/>
    <w:rsid w:val="00F63184"/>
    <w:rsid w:val="00F92C94"/>
    <w:rsid w:val="00FA72D5"/>
    <w:rsid w:val="00FB5A3E"/>
    <w:rsid w:val="00FC4EFF"/>
    <w:rsid w:val="00FD4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BDC12"/>
  <w15:docId w15:val="{876D1EDD-1A12-4DAB-9BF8-6C71F08F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Tablanormal41">
    <w:name w:val="Tabla normal 41"/>
    <w:basedOn w:val="Tablanormal"/>
    <w:uiPriority w:val="44"/>
    <w:rsid w:val="003540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3540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0D1B8679-9D1F-4833-A06B-C83F33BD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1304</Words>
  <Characters>7176</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Lenovo</cp:lastModifiedBy>
  <cp:revision>3</cp:revision>
  <cp:lastPrinted>2018-10-11T14:44:00Z</cp:lastPrinted>
  <dcterms:created xsi:type="dcterms:W3CDTF">2024-10-02T23:26:00Z</dcterms:created>
  <dcterms:modified xsi:type="dcterms:W3CDTF">2024-10-02T23:26:00Z</dcterms:modified>
</cp:coreProperties>
</file>