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475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68"/>
        <w:gridCol w:w="1096"/>
        <w:gridCol w:w="787"/>
        <w:gridCol w:w="1295"/>
        <w:gridCol w:w="318"/>
        <w:gridCol w:w="1186"/>
        <w:gridCol w:w="514"/>
        <w:gridCol w:w="700"/>
        <w:gridCol w:w="404"/>
        <w:gridCol w:w="24"/>
      </w:tblGrid>
      <w:tr w:rsidR="00D7434F" w:rsidRPr="003476FC" w14:paraId="7D5B2C3A" w14:textId="77777777" w:rsidTr="006D6D32">
        <w:trPr>
          <w:trHeight w:val="165"/>
        </w:trPr>
        <w:tc>
          <w:tcPr>
            <w:tcW w:w="5000" w:type="pct"/>
            <w:gridSpan w:val="10"/>
            <w:shd w:val="clear" w:color="auto" w:fill="F1F1F1"/>
          </w:tcPr>
          <w:p w14:paraId="71770080" w14:textId="77777777" w:rsidR="00D7434F" w:rsidRPr="003476FC" w:rsidRDefault="00D7434F" w:rsidP="00DA0D01">
            <w:pPr>
              <w:pStyle w:val="TableParagraph"/>
              <w:spacing w:before="8"/>
              <w:ind w:right="3208"/>
              <w:jc w:val="right"/>
              <w:rPr>
                <w:b/>
                <w:sz w:val="20"/>
                <w:szCs w:val="20"/>
              </w:rPr>
            </w:pPr>
            <w:r w:rsidRPr="003476FC">
              <w:rPr>
                <w:b/>
                <w:sz w:val="20"/>
                <w:szCs w:val="20"/>
              </w:rPr>
              <w:t>GUÍA DE PRÁCTICA DE LABORATORIO</w:t>
            </w:r>
          </w:p>
        </w:tc>
      </w:tr>
      <w:tr w:rsidR="00D7434F" w:rsidRPr="003476FC" w14:paraId="63872213" w14:textId="77777777" w:rsidTr="00DA7E39">
        <w:trPr>
          <w:trHeight w:val="205"/>
        </w:trPr>
        <w:tc>
          <w:tcPr>
            <w:tcW w:w="1523" w:type="pct"/>
            <w:shd w:val="clear" w:color="auto" w:fill="F1F1F1"/>
          </w:tcPr>
          <w:p w14:paraId="2DBCA57B" w14:textId="77777777" w:rsidR="00D7434F" w:rsidRPr="003476FC" w:rsidRDefault="00D7434F">
            <w:pPr>
              <w:pStyle w:val="TableParagraph"/>
              <w:spacing w:before="17" w:line="168" w:lineRule="exact"/>
              <w:rPr>
                <w:b/>
                <w:sz w:val="20"/>
                <w:szCs w:val="20"/>
              </w:rPr>
            </w:pPr>
            <w:r w:rsidRPr="003476FC">
              <w:rPr>
                <w:b/>
                <w:sz w:val="20"/>
                <w:szCs w:val="20"/>
              </w:rPr>
              <w:t>PERÍODO ACADÉMICO</w:t>
            </w:r>
          </w:p>
        </w:tc>
        <w:tc>
          <w:tcPr>
            <w:tcW w:w="3477" w:type="pct"/>
            <w:gridSpan w:val="9"/>
            <w:shd w:val="clear" w:color="auto" w:fill="F1F1F1"/>
          </w:tcPr>
          <w:p w14:paraId="392535A1" w14:textId="7C15678F" w:rsidR="00D7434F" w:rsidRPr="003476FC" w:rsidRDefault="00D7434F" w:rsidP="0076005E">
            <w:pPr>
              <w:pStyle w:val="TableParagraph"/>
              <w:spacing w:before="8"/>
              <w:ind w:left="23"/>
              <w:rPr>
                <w:sz w:val="20"/>
                <w:szCs w:val="20"/>
              </w:rPr>
            </w:pPr>
            <w:r>
              <w:rPr>
                <w:sz w:val="20"/>
              </w:rPr>
              <w:t>202</w:t>
            </w:r>
            <w:r w:rsidR="00E676F5">
              <w:rPr>
                <w:sz w:val="20"/>
              </w:rPr>
              <w:t>5</w:t>
            </w:r>
            <w:r>
              <w:rPr>
                <w:sz w:val="20"/>
              </w:rPr>
              <w:t>-</w:t>
            </w:r>
            <w:r w:rsidR="00E676F5">
              <w:rPr>
                <w:sz w:val="20"/>
              </w:rPr>
              <w:t>1</w:t>
            </w:r>
            <w:r>
              <w:rPr>
                <w:sz w:val="20"/>
              </w:rPr>
              <w:t>S</w:t>
            </w:r>
          </w:p>
        </w:tc>
      </w:tr>
      <w:tr w:rsidR="00D7434F" w:rsidRPr="003476FC" w14:paraId="6A4127FD" w14:textId="77777777" w:rsidTr="00237ACC">
        <w:trPr>
          <w:trHeight w:val="217"/>
        </w:trPr>
        <w:tc>
          <w:tcPr>
            <w:tcW w:w="1523" w:type="pct"/>
          </w:tcPr>
          <w:p w14:paraId="523322C5" w14:textId="77777777" w:rsidR="00D7434F" w:rsidRPr="003476FC" w:rsidRDefault="00D7434F">
            <w:pPr>
              <w:pStyle w:val="TableParagraph"/>
              <w:spacing w:before="24"/>
              <w:rPr>
                <w:b/>
                <w:sz w:val="20"/>
                <w:szCs w:val="20"/>
              </w:rPr>
            </w:pPr>
            <w:r w:rsidRPr="003476FC">
              <w:rPr>
                <w:b/>
                <w:sz w:val="20"/>
                <w:szCs w:val="20"/>
              </w:rPr>
              <w:t>ASIGNATURA</w:t>
            </w:r>
          </w:p>
        </w:tc>
        <w:tc>
          <w:tcPr>
            <w:tcW w:w="1036" w:type="pct"/>
            <w:gridSpan w:val="2"/>
          </w:tcPr>
          <w:p w14:paraId="0EC9C0AD" w14:textId="5C32D04F" w:rsidR="00D7434F" w:rsidRPr="003476FC" w:rsidRDefault="00DA7E39" w:rsidP="00DA0D01">
            <w:pPr>
              <w:pStyle w:val="TableParagraph"/>
              <w:spacing w:before="15"/>
              <w:rPr>
                <w:sz w:val="20"/>
                <w:szCs w:val="20"/>
              </w:rPr>
            </w:pPr>
            <w:r>
              <w:rPr>
                <w:sz w:val="20"/>
              </w:rPr>
              <w:t>BIOQUIMICA CLÍNICA</w:t>
            </w:r>
          </w:p>
        </w:tc>
        <w:tc>
          <w:tcPr>
            <w:tcW w:w="712" w:type="pct"/>
          </w:tcPr>
          <w:p w14:paraId="6CF16FE8" w14:textId="77777777" w:rsidR="00D7434F" w:rsidRPr="003476FC" w:rsidRDefault="00D7434F">
            <w:pPr>
              <w:pStyle w:val="TableParagraph"/>
              <w:spacing w:before="24"/>
              <w:ind w:left="29"/>
              <w:rPr>
                <w:b/>
                <w:sz w:val="20"/>
                <w:szCs w:val="20"/>
              </w:rPr>
            </w:pPr>
            <w:r w:rsidRPr="003476FC">
              <w:rPr>
                <w:b/>
                <w:sz w:val="20"/>
                <w:szCs w:val="20"/>
              </w:rPr>
              <w:t>SEMESTRE:</w:t>
            </w:r>
          </w:p>
        </w:tc>
        <w:tc>
          <w:tcPr>
            <w:tcW w:w="827" w:type="pct"/>
            <w:gridSpan w:val="2"/>
          </w:tcPr>
          <w:p w14:paraId="055F06EE" w14:textId="7FD2CD82" w:rsidR="00D7434F" w:rsidRPr="003476FC" w:rsidRDefault="00DA7E39" w:rsidP="00DA0D01">
            <w:pPr>
              <w:pStyle w:val="TableParagraph"/>
              <w:spacing w:before="15"/>
              <w:rPr>
                <w:b/>
                <w:sz w:val="20"/>
                <w:szCs w:val="20"/>
              </w:rPr>
            </w:pPr>
            <w:r>
              <w:rPr>
                <w:sz w:val="20"/>
                <w:szCs w:val="20"/>
              </w:rPr>
              <w:t>TERCERO</w:t>
            </w:r>
          </w:p>
        </w:tc>
        <w:tc>
          <w:tcPr>
            <w:tcW w:w="667" w:type="pct"/>
            <w:gridSpan w:val="2"/>
          </w:tcPr>
          <w:p w14:paraId="29997E74" w14:textId="77777777" w:rsidR="00D7434F" w:rsidRPr="003476FC" w:rsidRDefault="00D7434F">
            <w:pPr>
              <w:pStyle w:val="TableParagraph"/>
              <w:spacing w:before="24"/>
              <w:rPr>
                <w:b/>
                <w:sz w:val="20"/>
                <w:szCs w:val="20"/>
              </w:rPr>
            </w:pPr>
            <w:r w:rsidRPr="003476FC">
              <w:rPr>
                <w:b/>
                <w:sz w:val="20"/>
                <w:szCs w:val="20"/>
              </w:rPr>
              <w:t>PARALELO:</w:t>
            </w:r>
          </w:p>
        </w:tc>
        <w:tc>
          <w:tcPr>
            <w:tcW w:w="235" w:type="pct"/>
            <w:gridSpan w:val="2"/>
          </w:tcPr>
          <w:p w14:paraId="0094DF24" w14:textId="7AEDD105" w:rsidR="00D7434F" w:rsidRPr="003476FC" w:rsidRDefault="00D7434F">
            <w:pPr>
              <w:pStyle w:val="TableParagraph"/>
              <w:spacing w:before="15"/>
              <w:ind w:left="17"/>
              <w:jc w:val="center"/>
              <w:rPr>
                <w:sz w:val="20"/>
                <w:szCs w:val="20"/>
              </w:rPr>
            </w:pPr>
            <w:r>
              <w:rPr>
                <w:sz w:val="20"/>
                <w:szCs w:val="20"/>
              </w:rPr>
              <w:t>A</w:t>
            </w:r>
          </w:p>
        </w:tc>
      </w:tr>
      <w:tr w:rsidR="00D7434F" w:rsidRPr="003476FC" w14:paraId="4A37833F" w14:textId="77777777" w:rsidTr="00DA7E39">
        <w:trPr>
          <w:trHeight w:val="205"/>
        </w:trPr>
        <w:tc>
          <w:tcPr>
            <w:tcW w:w="1523" w:type="pct"/>
            <w:shd w:val="clear" w:color="auto" w:fill="F1F1F1"/>
          </w:tcPr>
          <w:p w14:paraId="60A812CA" w14:textId="77777777" w:rsidR="00D7434F" w:rsidRPr="003476FC" w:rsidRDefault="00D7434F">
            <w:pPr>
              <w:pStyle w:val="TableParagraph"/>
              <w:spacing w:before="17" w:line="168" w:lineRule="exact"/>
              <w:rPr>
                <w:b/>
                <w:sz w:val="20"/>
                <w:szCs w:val="20"/>
              </w:rPr>
            </w:pPr>
            <w:r w:rsidRPr="003476FC">
              <w:rPr>
                <w:b/>
                <w:sz w:val="20"/>
                <w:szCs w:val="20"/>
              </w:rPr>
              <w:t>NOMBRE DEL DOCENTE</w:t>
            </w:r>
          </w:p>
        </w:tc>
        <w:tc>
          <w:tcPr>
            <w:tcW w:w="3477" w:type="pct"/>
            <w:gridSpan w:val="9"/>
          </w:tcPr>
          <w:p w14:paraId="2AE5BAAF" w14:textId="77777777" w:rsidR="00D7434F" w:rsidRPr="003476FC" w:rsidRDefault="00D7434F">
            <w:pPr>
              <w:pStyle w:val="TableParagraph"/>
              <w:spacing w:before="8"/>
              <w:ind w:left="23"/>
              <w:rPr>
                <w:b/>
                <w:sz w:val="20"/>
                <w:szCs w:val="20"/>
              </w:rPr>
            </w:pPr>
            <w:r w:rsidRPr="003476FC">
              <w:rPr>
                <w:b/>
                <w:sz w:val="20"/>
                <w:szCs w:val="20"/>
              </w:rPr>
              <w:t>ROSA ELISA CRUZ TENEMP</w:t>
            </w:r>
            <w:r>
              <w:rPr>
                <w:b/>
                <w:sz w:val="20"/>
                <w:szCs w:val="20"/>
              </w:rPr>
              <w:t>A</w:t>
            </w:r>
            <w:r w:rsidRPr="003476FC">
              <w:rPr>
                <w:b/>
                <w:sz w:val="20"/>
                <w:szCs w:val="20"/>
              </w:rPr>
              <w:t>GUAY</w:t>
            </w:r>
          </w:p>
        </w:tc>
      </w:tr>
      <w:tr w:rsidR="00D7434F" w:rsidRPr="003476FC" w14:paraId="30ED6A36" w14:textId="77777777" w:rsidTr="00DA7E39">
        <w:trPr>
          <w:trHeight w:val="205"/>
        </w:trPr>
        <w:tc>
          <w:tcPr>
            <w:tcW w:w="1523" w:type="pct"/>
            <w:shd w:val="clear" w:color="auto" w:fill="F1F1F1"/>
          </w:tcPr>
          <w:p w14:paraId="4EB2E027" w14:textId="77777777" w:rsidR="00D7434F" w:rsidRPr="003476FC" w:rsidRDefault="00D7434F">
            <w:pPr>
              <w:pStyle w:val="TableParagraph"/>
              <w:spacing w:before="17" w:line="168" w:lineRule="exact"/>
              <w:ind w:left="73"/>
              <w:rPr>
                <w:b/>
                <w:sz w:val="20"/>
                <w:szCs w:val="20"/>
              </w:rPr>
            </w:pPr>
            <w:r w:rsidRPr="003476FC">
              <w:rPr>
                <w:b/>
                <w:sz w:val="20"/>
                <w:szCs w:val="20"/>
              </w:rPr>
              <w:t>FECHA</w:t>
            </w:r>
          </w:p>
        </w:tc>
        <w:tc>
          <w:tcPr>
            <w:tcW w:w="3477" w:type="pct"/>
            <w:gridSpan w:val="9"/>
          </w:tcPr>
          <w:p w14:paraId="3F4E10F5" w14:textId="423D9079" w:rsidR="00C819D6" w:rsidRPr="003476FC" w:rsidRDefault="006D6D32" w:rsidP="00D950B0">
            <w:pPr>
              <w:pStyle w:val="TableParagraph"/>
              <w:spacing w:before="8"/>
              <w:ind w:left="0"/>
              <w:rPr>
                <w:sz w:val="20"/>
                <w:szCs w:val="20"/>
              </w:rPr>
            </w:pPr>
            <w:r>
              <w:rPr>
                <w:sz w:val="20"/>
                <w:szCs w:val="20"/>
              </w:rPr>
              <w:t xml:space="preserve"> </w:t>
            </w:r>
            <w:r w:rsidR="00DA7E39">
              <w:rPr>
                <w:sz w:val="20"/>
                <w:szCs w:val="20"/>
              </w:rPr>
              <w:t>Martes</w:t>
            </w:r>
            <w:r>
              <w:rPr>
                <w:sz w:val="20"/>
                <w:szCs w:val="20"/>
              </w:rPr>
              <w:t xml:space="preserve"> </w:t>
            </w:r>
            <w:r w:rsidR="00E676F5">
              <w:rPr>
                <w:sz w:val="20"/>
                <w:szCs w:val="20"/>
              </w:rPr>
              <w:t>06</w:t>
            </w:r>
            <w:r>
              <w:rPr>
                <w:sz w:val="20"/>
                <w:szCs w:val="20"/>
              </w:rPr>
              <w:t xml:space="preserve"> de </w:t>
            </w:r>
            <w:r w:rsidR="00E676F5">
              <w:rPr>
                <w:sz w:val="20"/>
                <w:szCs w:val="20"/>
              </w:rPr>
              <w:t>mayo</w:t>
            </w:r>
            <w:r>
              <w:rPr>
                <w:sz w:val="20"/>
                <w:szCs w:val="20"/>
              </w:rPr>
              <w:t xml:space="preserve"> de 202</w:t>
            </w:r>
            <w:r w:rsidR="00E676F5">
              <w:rPr>
                <w:sz w:val="20"/>
                <w:szCs w:val="20"/>
              </w:rPr>
              <w:t>5</w:t>
            </w:r>
          </w:p>
        </w:tc>
      </w:tr>
      <w:tr w:rsidR="00D7434F" w:rsidRPr="003476FC" w14:paraId="48F33683" w14:textId="77777777" w:rsidTr="00DA7E39">
        <w:trPr>
          <w:trHeight w:val="217"/>
        </w:trPr>
        <w:tc>
          <w:tcPr>
            <w:tcW w:w="1523" w:type="pct"/>
          </w:tcPr>
          <w:p w14:paraId="1F105FFA" w14:textId="77777777" w:rsidR="00D7434F" w:rsidRPr="003476FC" w:rsidRDefault="00D7434F">
            <w:pPr>
              <w:pStyle w:val="TableParagraph"/>
              <w:spacing w:before="24"/>
              <w:rPr>
                <w:b/>
                <w:sz w:val="20"/>
                <w:szCs w:val="20"/>
              </w:rPr>
            </w:pPr>
            <w:r w:rsidRPr="003476FC">
              <w:rPr>
                <w:b/>
                <w:sz w:val="20"/>
                <w:szCs w:val="20"/>
              </w:rPr>
              <w:t>NÚMERO DE PRÁCTICA</w:t>
            </w:r>
          </w:p>
        </w:tc>
        <w:tc>
          <w:tcPr>
            <w:tcW w:w="603" w:type="pct"/>
            <w:vAlign w:val="center"/>
          </w:tcPr>
          <w:p w14:paraId="523EC2CD" w14:textId="06D6302C" w:rsidR="00D7434F" w:rsidRPr="003476FC" w:rsidRDefault="0084376B" w:rsidP="007D55BE">
            <w:pPr>
              <w:pStyle w:val="TableParagraph"/>
              <w:spacing w:before="15"/>
              <w:ind w:left="23"/>
              <w:jc w:val="center"/>
              <w:rPr>
                <w:sz w:val="20"/>
                <w:szCs w:val="20"/>
              </w:rPr>
            </w:pPr>
            <w:r>
              <w:rPr>
                <w:sz w:val="20"/>
                <w:szCs w:val="20"/>
              </w:rPr>
              <w:t>5</w:t>
            </w:r>
          </w:p>
        </w:tc>
        <w:tc>
          <w:tcPr>
            <w:tcW w:w="433" w:type="pct"/>
            <w:vAlign w:val="center"/>
          </w:tcPr>
          <w:p w14:paraId="4CC4092A" w14:textId="77777777" w:rsidR="00D7434F" w:rsidRPr="003476FC" w:rsidRDefault="00D7434F" w:rsidP="007D55BE">
            <w:pPr>
              <w:pStyle w:val="TableParagraph"/>
              <w:spacing w:before="24"/>
              <w:jc w:val="center"/>
              <w:rPr>
                <w:b/>
                <w:sz w:val="20"/>
                <w:szCs w:val="20"/>
              </w:rPr>
            </w:pPr>
            <w:r w:rsidRPr="003476FC">
              <w:rPr>
                <w:b/>
                <w:sz w:val="20"/>
                <w:szCs w:val="20"/>
              </w:rPr>
              <w:t>HORA:</w:t>
            </w:r>
          </w:p>
        </w:tc>
        <w:tc>
          <w:tcPr>
            <w:tcW w:w="887" w:type="pct"/>
            <w:gridSpan w:val="2"/>
            <w:vAlign w:val="center"/>
          </w:tcPr>
          <w:p w14:paraId="4D5EE016" w14:textId="2E821F5F" w:rsidR="00C819D6" w:rsidRDefault="00DA7E39" w:rsidP="007D55BE">
            <w:pPr>
              <w:pStyle w:val="TableParagraph"/>
              <w:spacing w:before="15"/>
              <w:jc w:val="center"/>
              <w:rPr>
                <w:sz w:val="20"/>
                <w:szCs w:val="20"/>
              </w:rPr>
            </w:pPr>
            <w:r>
              <w:rPr>
                <w:sz w:val="20"/>
                <w:szCs w:val="20"/>
              </w:rPr>
              <w:t>07h00</w:t>
            </w:r>
          </w:p>
          <w:p w14:paraId="17A0702B" w14:textId="7949C336" w:rsidR="00C819D6" w:rsidRPr="003476FC" w:rsidRDefault="00DA7E39" w:rsidP="00DA7E39">
            <w:pPr>
              <w:pStyle w:val="TableParagraph"/>
              <w:spacing w:before="15"/>
              <w:jc w:val="center"/>
              <w:rPr>
                <w:sz w:val="20"/>
                <w:szCs w:val="20"/>
              </w:rPr>
            </w:pPr>
            <w:r>
              <w:rPr>
                <w:sz w:val="20"/>
                <w:szCs w:val="20"/>
              </w:rPr>
              <w:t>10h00</w:t>
            </w:r>
          </w:p>
        </w:tc>
        <w:tc>
          <w:tcPr>
            <w:tcW w:w="934" w:type="pct"/>
            <w:gridSpan w:val="2"/>
            <w:vAlign w:val="center"/>
          </w:tcPr>
          <w:p w14:paraId="00FBE848" w14:textId="77777777" w:rsidR="00D7434F" w:rsidRPr="003476FC" w:rsidRDefault="00D7434F" w:rsidP="007D55BE">
            <w:pPr>
              <w:pStyle w:val="TableParagraph"/>
              <w:spacing w:before="15"/>
              <w:jc w:val="center"/>
              <w:rPr>
                <w:b/>
                <w:sz w:val="20"/>
                <w:szCs w:val="20"/>
              </w:rPr>
            </w:pPr>
            <w:r w:rsidRPr="003476FC">
              <w:rPr>
                <w:b/>
                <w:sz w:val="20"/>
                <w:szCs w:val="20"/>
              </w:rPr>
              <w:t>DURACIÓN:</w:t>
            </w:r>
          </w:p>
        </w:tc>
        <w:tc>
          <w:tcPr>
            <w:tcW w:w="620" w:type="pct"/>
            <w:gridSpan w:val="3"/>
            <w:vAlign w:val="center"/>
          </w:tcPr>
          <w:p w14:paraId="5B0AD0A5" w14:textId="6504A07B" w:rsidR="00D7434F" w:rsidRPr="003476FC" w:rsidRDefault="006D6D32" w:rsidP="007D55BE">
            <w:pPr>
              <w:pStyle w:val="TableParagraph"/>
              <w:spacing w:before="15"/>
              <w:ind w:left="16"/>
              <w:jc w:val="center"/>
              <w:rPr>
                <w:sz w:val="20"/>
                <w:szCs w:val="20"/>
              </w:rPr>
            </w:pPr>
            <w:r>
              <w:rPr>
                <w:sz w:val="20"/>
                <w:szCs w:val="20"/>
              </w:rPr>
              <w:t>3</w:t>
            </w:r>
            <w:r w:rsidR="00D7434F" w:rsidRPr="003476FC">
              <w:rPr>
                <w:sz w:val="20"/>
                <w:szCs w:val="20"/>
              </w:rPr>
              <w:t>h</w:t>
            </w:r>
          </w:p>
        </w:tc>
      </w:tr>
      <w:tr w:rsidR="00D7434F" w:rsidRPr="003476FC" w14:paraId="10E83E54" w14:textId="77777777" w:rsidTr="00237ACC">
        <w:trPr>
          <w:trHeight w:val="227"/>
        </w:trPr>
        <w:tc>
          <w:tcPr>
            <w:tcW w:w="1523" w:type="pct"/>
            <w:vMerge w:val="restart"/>
            <w:vAlign w:val="center"/>
          </w:tcPr>
          <w:p w14:paraId="357F2C76" w14:textId="77777777" w:rsidR="00D7434F" w:rsidRPr="003476FC" w:rsidRDefault="00D7434F" w:rsidP="0099109F">
            <w:pPr>
              <w:pStyle w:val="TableParagraph"/>
              <w:jc w:val="center"/>
              <w:rPr>
                <w:b/>
                <w:sz w:val="20"/>
                <w:szCs w:val="20"/>
              </w:rPr>
            </w:pPr>
            <w:r w:rsidRPr="003476FC">
              <w:rPr>
                <w:b/>
                <w:sz w:val="20"/>
                <w:szCs w:val="20"/>
              </w:rPr>
              <w:t>N</w:t>
            </w:r>
            <w:r>
              <w:rPr>
                <w:b/>
                <w:sz w:val="20"/>
                <w:szCs w:val="20"/>
              </w:rPr>
              <w:t>OMBRE DE LOS ESTUDIANTES</w:t>
            </w:r>
          </w:p>
        </w:tc>
        <w:tc>
          <w:tcPr>
            <w:tcW w:w="1748" w:type="pct"/>
            <w:gridSpan w:val="3"/>
            <w:shd w:val="clear" w:color="auto" w:fill="F1F1F1"/>
          </w:tcPr>
          <w:p w14:paraId="6AD981C8" w14:textId="77777777" w:rsidR="00D7434F" w:rsidRPr="0076005E" w:rsidRDefault="00D7434F" w:rsidP="0076005E">
            <w:pPr>
              <w:jc w:val="center"/>
              <w:rPr>
                <w:b/>
                <w:sz w:val="18"/>
              </w:rPr>
            </w:pPr>
            <w:r w:rsidRPr="0076005E">
              <w:rPr>
                <w:b/>
                <w:sz w:val="18"/>
              </w:rPr>
              <w:t>GRUPO 1</w:t>
            </w:r>
          </w:p>
        </w:tc>
        <w:tc>
          <w:tcPr>
            <w:tcW w:w="1730" w:type="pct"/>
            <w:gridSpan w:val="6"/>
            <w:shd w:val="clear" w:color="auto" w:fill="F1F1F1"/>
          </w:tcPr>
          <w:p w14:paraId="3554CA78" w14:textId="77777777" w:rsidR="00D7434F" w:rsidRPr="0076005E" w:rsidRDefault="00D7434F" w:rsidP="0076005E">
            <w:pPr>
              <w:jc w:val="center"/>
              <w:rPr>
                <w:b/>
                <w:sz w:val="18"/>
              </w:rPr>
            </w:pPr>
            <w:r w:rsidRPr="0076005E">
              <w:rPr>
                <w:b/>
                <w:sz w:val="18"/>
              </w:rPr>
              <w:t>GRUPO 2</w:t>
            </w:r>
          </w:p>
        </w:tc>
      </w:tr>
      <w:tr w:rsidR="00DA7E39" w:rsidRPr="003476FC" w14:paraId="09D187A3" w14:textId="77777777" w:rsidTr="00E676F5">
        <w:trPr>
          <w:trHeight w:val="6420"/>
        </w:trPr>
        <w:tc>
          <w:tcPr>
            <w:tcW w:w="1523" w:type="pct"/>
            <w:vMerge/>
            <w:tcBorders>
              <w:top w:val="nil"/>
            </w:tcBorders>
          </w:tcPr>
          <w:p w14:paraId="38ABE319" w14:textId="77777777" w:rsidR="00DA7E39" w:rsidRPr="003476FC" w:rsidRDefault="00DA7E39" w:rsidP="00DA7E39">
            <w:pPr>
              <w:rPr>
                <w:sz w:val="20"/>
                <w:szCs w:val="20"/>
              </w:rPr>
            </w:pPr>
          </w:p>
        </w:tc>
        <w:tc>
          <w:tcPr>
            <w:tcW w:w="1748" w:type="pct"/>
            <w:gridSpan w:val="3"/>
          </w:tcPr>
          <w:p w14:paraId="06835130" w14:textId="7645EC68" w:rsidR="00DA7E39" w:rsidRPr="00DA7E39" w:rsidRDefault="00DA7E39" w:rsidP="00237ACC">
            <w:pPr>
              <w:pStyle w:val="Prrafodelista"/>
              <w:numPr>
                <w:ilvl w:val="0"/>
                <w:numId w:val="33"/>
              </w:numPr>
              <w:ind w:right="142"/>
              <w:jc w:val="both"/>
              <w:rPr>
                <w:sz w:val="16"/>
                <w:szCs w:val="16"/>
              </w:rPr>
            </w:pPr>
          </w:p>
        </w:tc>
        <w:tc>
          <w:tcPr>
            <w:tcW w:w="1730" w:type="pct"/>
            <w:gridSpan w:val="6"/>
          </w:tcPr>
          <w:p w14:paraId="5F1D8058" w14:textId="4EDC58C2" w:rsidR="00DA7E39" w:rsidRPr="00DA7E39" w:rsidRDefault="00DA7E39" w:rsidP="00DA7E39">
            <w:pPr>
              <w:pStyle w:val="Prrafodelista"/>
              <w:numPr>
                <w:ilvl w:val="0"/>
                <w:numId w:val="33"/>
              </w:numPr>
              <w:ind w:right="141"/>
              <w:jc w:val="both"/>
              <w:rPr>
                <w:sz w:val="16"/>
                <w:szCs w:val="16"/>
              </w:rPr>
            </w:pPr>
          </w:p>
        </w:tc>
      </w:tr>
      <w:tr w:rsidR="00DA7E39" w:rsidRPr="003476FC" w14:paraId="24E68EC4" w14:textId="77777777" w:rsidTr="00DA7E39">
        <w:trPr>
          <w:trHeight w:val="205"/>
        </w:trPr>
        <w:tc>
          <w:tcPr>
            <w:tcW w:w="1523" w:type="pct"/>
            <w:shd w:val="clear" w:color="auto" w:fill="F1F1F1"/>
            <w:vAlign w:val="center"/>
          </w:tcPr>
          <w:p w14:paraId="464D3F9F" w14:textId="77777777" w:rsidR="00DA7E39" w:rsidRPr="003476FC" w:rsidRDefault="00DA7E39" w:rsidP="00DA7E39">
            <w:pPr>
              <w:pStyle w:val="TableParagraph"/>
              <w:spacing w:before="17" w:line="168" w:lineRule="exact"/>
              <w:jc w:val="both"/>
              <w:rPr>
                <w:b/>
                <w:sz w:val="20"/>
                <w:szCs w:val="20"/>
              </w:rPr>
            </w:pPr>
            <w:r w:rsidRPr="003476FC">
              <w:rPr>
                <w:b/>
                <w:sz w:val="20"/>
                <w:szCs w:val="20"/>
              </w:rPr>
              <w:t>LUGAR DE LA PRÁCTICA</w:t>
            </w:r>
          </w:p>
        </w:tc>
        <w:tc>
          <w:tcPr>
            <w:tcW w:w="3477" w:type="pct"/>
            <w:gridSpan w:val="9"/>
          </w:tcPr>
          <w:p w14:paraId="1C8E9493" w14:textId="31A5D23C" w:rsidR="00DA7E39" w:rsidRPr="006D6D32" w:rsidRDefault="00DA7E39" w:rsidP="00DA7E39">
            <w:pPr>
              <w:pStyle w:val="TableParagraph"/>
              <w:spacing w:before="5"/>
              <w:ind w:left="23"/>
              <w:rPr>
                <w:sz w:val="20"/>
              </w:rPr>
            </w:pPr>
            <w:r>
              <w:rPr>
                <w:sz w:val="20"/>
              </w:rPr>
              <w:t xml:space="preserve">Laboratorio E201 </w:t>
            </w:r>
          </w:p>
        </w:tc>
      </w:tr>
      <w:tr w:rsidR="00DA7E39" w:rsidRPr="003476FC" w14:paraId="7C72E8FA" w14:textId="77777777" w:rsidTr="00DA7E39">
        <w:trPr>
          <w:trHeight w:val="205"/>
        </w:trPr>
        <w:tc>
          <w:tcPr>
            <w:tcW w:w="1523" w:type="pct"/>
            <w:vAlign w:val="center"/>
          </w:tcPr>
          <w:p w14:paraId="3BFFB3FE" w14:textId="77777777" w:rsidR="00DA7E39" w:rsidRPr="003476FC" w:rsidRDefault="00DA7E39" w:rsidP="00DA7E39">
            <w:pPr>
              <w:pStyle w:val="TableParagraph"/>
              <w:spacing w:before="17" w:line="168" w:lineRule="exact"/>
              <w:jc w:val="both"/>
              <w:rPr>
                <w:b/>
                <w:sz w:val="20"/>
                <w:szCs w:val="20"/>
              </w:rPr>
            </w:pPr>
            <w:r w:rsidRPr="003476FC">
              <w:rPr>
                <w:b/>
                <w:sz w:val="20"/>
                <w:szCs w:val="20"/>
              </w:rPr>
              <w:t>TÍTULO DE LA UNIDAD</w:t>
            </w:r>
          </w:p>
        </w:tc>
        <w:tc>
          <w:tcPr>
            <w:tcW w:w="3477" w:type="pct"/>
            <w:gridSpan w:val="9"/>
          </w:tcPr>
          <w:p w14:paraId="5BA8F95A" w14:textId="169373C5" w:rsidR="00DA7E39" w:rsidRPr="003476FC" w:rsidRDefault="0084376B" w:rsidP="00DA7E39">
            <w:pPr>
              <w:pStyle w:val="TableParagraph"/>
              <w:spacing w:before="5"/>
              <w:ind w:left="23"/>
              <w:rPr>
                <w:sz w:val="20"/>
                <w:szCs w:val="20"/>
              </w:rPr>
            </w:pPr>
            <w:r w:rsidRPr="0084376B">
              <w:rPr>
                <w:sz w:val="20"/>
              </w:rPr>
              <w:t>Diagnóstico de laboratorio en trastornos del metabolismo de Lípidos</w:t>
            </w:r>
          </w:p>
        </w:tc>
      </w:tr>
      <w:tr w:rsidR="00DA7E39" w:rsidRPr="003476FC" w14:paraId="31833CD6" w14:textId="77777777" w:rsidTr="00DA7E39">
        <w:trPr>
          <w:trHeight w:val="65"/>
        </w:trPr>
        <w:tc>
          <w:tcPr>
            <w:tcW w:w="1523" w:type="pct"/>
            <w:shd w:val="clear" w:color="auto" w:fill="F1F1F1"/>
            <w:vAlign w:val="center"/>
          </w:tcPr>
          <w:p w14:paraId="5F60C59D" w14:textId="77777777" w:rsidR="00DA7E39" w:rsidRPr="003476FC" w:rsidRDefault="00DA7E39" w:rsidP="00DA7E39">
            <w:pPr>
              <w:pStyle w:val="TableParagraph"/>
              <w:jc w:val="both"/>
              <w:rPr>
                <w:b/>
                <w:sz w:val="20"/>
                <w:szCs w:val="20"/>
              </w:rPr>
            </w:pPr>
            <w:r w:rsidRPr="003476FC">
              <w:rPr>
                <w:b/>
                <w:sz w:val="20"/>
                <w:szCs w:val="20"/>
              </w:rPr>
              <w:t>TEMA DE LA PRÁCTICA</w:t>
            </w:r>
          </w:p>
        </w:tc>
        <w:tc>
          <w:tcPr>
            <w:tcW w:w="3477" w:type="pct"/>
            <w:gridSpan w:val="9"/>
            <w:vAlign w:val="center"/>
          </w:tcPr>
          <w:p w14:paraId="1E8A0F8C" w14:textId="62E03AAE" w:rsidR="00DA7E39" w:rsidRPr="003476FC" w:rsidRDefault="0084376B" w:rsidP="0084376B">
            <w:pPr>
              <w:pStyle w:val="TableParagraph"/>
              <w:spacing w:before="135"/>
              <w:jc w:val="both"/>
              <w:rPr>
                <w:sz w:val="20"/>
                <w:szCs w:val="20"/>
              </w:rPr>
            </w:pPr>
            <w:r w:rsidRPr="0084376B">
              <w:rPr>
                <w:sz w:val="20"/>
              </w:rPr>
              <w:t>Dosificación de</w:t>
            </w:r>
            <w:r>
              <w:rPr>
                <w:sz w:val="20"/>
              </w:rPr>
              <w:t xml:space="preserve"> </w:t>
            </w:r>
            <w:r w:rsidRPr="0084376B">
              <w:rPr>
                <w:sz w:val="20"/>
              </w:rPr>
              <w:t>triglicéridos</w:t>
            </w:r>
          </w:p>
        </w:tc>
      </w:tr>
      <w:tr w:rsidR="00D7434F" w:rsidRPr="003476FC" w14:paraId="29820546" w14:textId="77777777" w:rsidTr="006D6D32">
        <w:trPr>
          <w:trHeight w:val="205"/>
        </w:trPr>
        <w:tc>
          <w:tcPr>
            <w:tcW w:w="5000" w:type="pct"/>
            <w:gridSpan w:val="10"/>
          </w:tcPr>
          <w:p w14:paraId="12C1A274" w14:textId="77777777" w:rsidR="00D7434F" w:rsidRPr="003476FC" w:rsidRDefault="00D7434F" w:rsidP="0025699E">
            <w:pPr>
              <w:pStyle w:val="TableParagraph"/>
              <w:spacing w:before="8"/>
              <w:rPr>
                <w:b/>
                <w:sz w:val="20"/>
                <w:szCs w:val="20"/>
              </w:rPr>
            </w:pPr>
            <w:r w:rsidRPr="003476FC">
              <w:rPr>
                <w:b/>
                <w:sz w:val="20"/>
                <w:szCs w:val="20"/>
              </w:rPr>
              <w:t>RESULTADO DE APRENDIZAJE.</w:t>
            </w:r>
          </w:p>
        </w:tc>
      </w:tr>
      <w:tr w:rsidR="00D7434F" w:rsidRPr="003476FC" w14:paraId="645DA014" w14:textId="77777777" w:rsidTr="006D6D32">
        <w:trPr>
          <w:trHeight w:val="625"/>
        </w:trPr>
        <w:tc>
          <w:tcPr>
            <w:tcW w:w="5000" w:type="pct"/>
            <w:gridSpan w:val="10"/>
          </w:tcPr>
          <w:p w14:paraId="7C110CB1" w14:textId="17B79B78" w:rsidR="00FD74B8" w:rsidRPr="003476FC" w:rsidRDefault="0084376B" w:rsidP="0084376B">
            <w:pPr>
              <w:pStyle w:val="TableParagraph"/>
              <w:spacing w:before="12" w:line="261" w:lineRule="auto"/>
              <w:ind w:right="78"/>
              <w:jc w:val="both"/>
              <w:rPr>
                <w:sz w:val="20"/>
                <w:szCs w:val="20"/>
              </w:rPr>
            </w:pPr>
            <w:r w:rsidRPr="0084376B">
              <w:rPr>
                <w:sz w:val="20"/>
              </w:rPr>
              <w:t>Relaciona los trastornos del metabolismo de lípidos, a través de la ejecución de procedimientos, métodos y técnicas bioquímicas</w:t>
            </w:r>
            <w:r>
              <w:rPr>
                <w:sz w:val="20"/>
              </w:rPr>
              <w:t xml:space="preserve"> </w:t>
            </w:r>
            <w:r w:rsidRPr="0084376B">
              <w:rPr>
                <w:sz w:val="20"/>
              </w:rPr>
              <w:t>manuales y automatizadas, para efectuar un adecuado diagnóstico de laboratorio.</w:t>
            </w:r>
          </w:p>
        </w:tc>
      </w:tr>
      <w:tr w:rsidR="00D7434F" w:rsidRPr="003476FC" w14:paraId="2A4F5BB8" w14:textId="77777777" w:rsidTr="00DA7E39">
        <w:trPr>
          <w:trHeight w:val="611"/>
        </w:trPr>
        <w:tc>
          <w:tcPr>
            <w:tcW w:w="1523" w:type="pct"/>
            <w:shd w:val="clear" w:color="auto" w:fill="F1F1F1"/>
          </w:tcPr>
          <w:p w14:paraId="494AE46F" w14:textId="77777777" w:rsidR="00D7434F" w:rsidRPr="003476FC" w:rsidRDefault="00D7434F" w:rsidP="0025699E">
            <w:pPr>
              <w:pStyle w:val="TableParagraph"/>
              <w:spacing w:before="2"/>
              <w:ind w:left="0"/>
              <w:rPr>
                <w:sz w:val="20"/>
                <w:szCs w:val="20"/>
              </w:rPr>
            </w:pPr>
          </w:p>
          <w:p w14:paraId="592A6212" w14:textId="77777777" w:rsidR="00D7434F" w:rsidRPr="003476FC" w:rsidRDefault="00D7434F" w:rsidP="0025699E">
            <w:pPr>
              <w:pStyle w:val="TableParagraph"/>
              <w:spacing w:before="1"/>
              <w:rPr>
                <w:b/>
                <w:sz w:val="20"/>
                <w:szCs w:val="20"/>
              </w:rPr>
            </w:pPr>
            <w:r w:rsidRPr="003476FC">
              <w:rPr>
                <w:b/>
                <w:sz w:val="20"/>
                <w:szCs w:val="20"/>
              </w:rPr>
              <w:t>OBJETIVO GENERAL</w:t>
            </w:r>
          </w:p>
        </w:tc>
        <w:tc>
          <w:tcPr>
            <w:tcW w:w="3477" w:type="pct"/>
            <w:gridSpan w:val="9"/>
          </w:tcPr>
          <w:p w14:paraId="4A012E05" w14:textId="1C0E4CD3" w:rsidR="00FD74B8" w:rsidRPr="00DA7E39" w:rsidRDefault="00237ACC" w:rsidP="00DA7E39">
            <w:pPr>
              <w:ind w:right="163"/>
              <w:jc w:val="both"/>
              <w:rPr>
                <w:sz w:val="20"/>
              </w:rPr>
            </w:pPr>
            <w:r w:rsidRPr="00237ACC">
              <w:rPr>
                <w:sz w:val="20"/>
              </w:rPr>
              <w:t>Cuantificar concentraciones triglicéridos en suero sanguíneo</w:t>
            </w:r>
            <w:r>
              <w:rPr>
                <w:sz w:val="20"/>
              </w:rPr>
              <w:t xml:space="preserve"> de sujetos con metabolismo normal de lípidos </w:t>
            </w:r>
          </w:p>
        </w:tc>
      </w:tr>
      <w:tr w:rsidR="00D7434F" w:rsidRPr="003476FC" w14:paraId="50F62288" w14:textId="77777777" w:rsidTr="00DA7E39">
        <w:trPr>
          <w:trHeight w:val="307"/>
        </w:trPr>
        <w:tc>
          <w:tcPr>
            <w:tcW w:w="1523" w:type="pct"/>
            <w:shd w:val="clear" w:color="auto" w:fill="F1F1F1"/>
          </w:tcPr>
          <w:p w14:paraId="417E7CE2" w14:textId="77777777" w:rsidR="00D7434F" w:rsidRPr="003476FC" w:rsidRDefault="00D7434F" w:rsidP="0025699E">
            <w:pPr>
              <w:pStyle w:val="TableParagraph"/>
              <w:ind w:left="0"/>
              <w:rPr>
                <w:sz w:val="20"/>
                <w:szCs w:val="20"/>
              </w:rPr>
            </w:pPr>
          </w:p>
          <w:p w14:paraId="2C89B82E" w14:textId="77777777" w:rsidR="00D7434F" w:rsidRPr="003476FC" w:rsidRDefault="00D7434F" w:rsidP="0025699E">
            <w:pPr>
              <w:pStyle w:val="TableParagraph"/>
              <w:ind w:left="0"/>
              <w:rPr>
                <w:sz w:val="20"/>
                <w:szCs w:val="20"/>
              </w:rPr>
            </w:pPr>
          </w:p>
          <w:p w14:paraId="3A6B7A87" w14:textId="77777777" w:rsidR="00D7434F" w:rsidRPr="003476FC" w:rsidRDefault="00D7434F" w:rsidP="0025699E">
            <w:pPr>
              <w:pStyle w:val="TableParagraph"/>
              <w:spacing w:before="7"/>
              <w:ind w:left="0"/>
              <w:rPr>
                <w:sz w:val="20"/>
                <w:szCs w:val="20"/>
              </w:rPr>
            </w:pPr>
          </w:p>
          <w:p w14:paraId="48486143" w14:textId="77777777" w:rsidR="00D7434F" w:rsidRPr="003476FC" w:rsidRDefault="00D7434F" w:rsidP="0025699E">
            <w:pPr>
              <w:pStyle w:val="TableParagraph"/>
              <w:rPr>
                <w:b/>
                <w:sz w:val="20"/>
                <w:szCs w:val="20"/>
              </w:rPr>
            </w:pPr>
            <w:r w:rsidRPr="003476FC">
              <w:rPr>
                <w:b/>
                <w:sz w:val="20"/>
                <w:szCs w:val="20"/>
              </w:rPr>
              <w:t>Objetivos específicos</w:t>
            </w:r>
          </w:p>
        </w:tc>
        <w:tc>
          <w:tcPr>
            <w:tcW w:w="3477" w:type="pct"/>
            <w:gridSpan w:val="9"/>
          </w:tcPr>
          <w:p w14:paraId="51B9FC75" w14:textId="1E63D5E0" w:rsidR="00237ACC" w:rsidRPr="00237ACC" w:rsidRDefault="00237ACC" w:rsidP="00237ACC">
            <w:pPr>
              <w:pStyle w:val="Prrafodelista"/>
              <w:numPr>
                <w:ilvl w:val="0"/>
                <w:numId w:val="34"/>
              </w:numPr>
              <w:ind w:right="163"/>
              <w:jc w:val="both"/>
              <w:rPr>
                <w:sz w:val="20"/>
              </w:rPr>
            </w:pPr>
            <w:r w:rsidRPr="00237ACC">
              <w:rPr>
                <w:sz w:val="20"/>
              </w:rPr>
              <w:t>Consultar y registrar si el paciente se encuentra adecuadamente preparado para realizarse estos análisis bioquímicos (fase preanalítica).</w:t>
            </w:r>
          </w:p>
          <w:p w14:paraId="671702B9" w14:textId="77777777" w:rsidR="00237ACC" w:rsidRPr="00237ACC" w:rsidRDefault="00237ACC" w:rsidP="00237ACC">
            <w:pPr>
              <w:pStyle w:val="Prrafodelista"/>
              <w:numPr>
                <w:ilvl w:val="0"/>
                <w:numId w:val="34"/>
              </w:numPr>
              <w:ind w:right="163"/>
              <w:jc w:val="both"/>
              <w:rPr>
                <w:sz w:val="20"/>
              </w:rPr>
            </w:pPr>
            <w:r w:rsidRPr="00237ACC">
              <w:rPr>
                <w:sz w:val="20"/>
              </w:rPr>
              <w:t>Describir los métodos de análisis utilizados en las determinaciones.</w:t>
            </w:r>
          </w:p>
          <w:p w14:paraId="78D05476" w14:textId="77777777" w:rsidR="00237ACC" w:rsidRPr="00237ACC" w:rsidRDefault="00237ACC" w:rsidP="00237ACC">
            <w:pPr>
              <w:pStyle w:val="Prrafodelista"/>
              <w:numPr>
                <w:ilvl w:val="0"/>
                <w:numId w:val="34"/>
              </w:numPr>
              <w:ind w:right="163"/>
              <w:jc w:val="both"/>
              <w:rPr>
                <w:sz w:val="20"/>
              </w:rPr>
            </w:pPr>
            <w:r w:rsidRPr="00237ACC">
              <w:rPr>
                <w:sz w:val="20"/>
              </w:rPr>
              <w:t>Identificar los valores de referencia y clasificación para triglicéridos.</w:t>
            </w:r>
          </w:p>
          <w:p w14:paraId="6B452A3A" w14:textId="5597A3C7" w:rsidR="00237ACC" w:rsidRPr="00237ACC" w:rsidRDefault="00237ACC" w:rsidP="00237ACC">
            <w:pPr>
              <w:pStyle w:val="Prrafodelista"/>
              <w:numPr>
                <w:ilvl w:val="0"/>
                <w:numId w:val="34"/>
              </w:numPr>
              <w:ind w:right="163"/>
              <w:jc w:val="both"/>
              <w:rPr>
                <w:sz w:val="20"/>
              </w:rPr>
            </w:pPr>
            <w:r w:rsidRPr="00237ACC">
              <w:rPr>
                <w:sz w:val="20"/>
              </w:rPr>
              <w:t>Calcular las concentraciones de triglicéridos en la muestra de suero objeto de análisis.</w:t>
            </w:r>
          </w:p>
          <w:p w14:paraId="3CE24ECF" w14:textId="326A1A27" w:rsidR="00FD74B8" w:rsidRPr="00237ACC" w:rsidRDefault="00237ACC" w:rsidP="00237ACC">
            <w:pPr>
              <w:pStyle w:val="Prrafodelista"/>
              <w:numPr>
                <w:ilvl w:val="0"/>
                <w:numId w:val="34"/>
              </w:numPr>
              <w:ind w:right="163"/>
              <w:jc w:val="both"/>
              <w:rPr>
                <w:sz w:val="20"/>
              </w:rPr>
            </w:pPr>
            <w:r w:rsidRPr="00237ACC">
              <w:rPr>
                <w:sz w:val="20"/>
              </w:rPr>
              <w:lastRenderedPageBreak/>
              <w:t>Interpretar los resultados obtenidos y correlacionarlos con su importancia biomédica.</w:t>
            </w:r>
          </w:p>
        </w:tc>
      </w:tr>
      <w:tr w:rsidR="00D7434F" w:rsidRPr="00DA0D01" w14:paraId="4508B2B6" w14:textId="77777777" w:rsidTr="00DA7E39">
        <w:tblPrEx>
          <w:tblBorders>
            <w:bottom w:val="single" w:sz="4" w:space="0" w:color="auto"/>
          </w:tblBorders>
        </w:tblPrEx>
        <w:trPr>
          <w:gridAfter w:val="1"/>
          <w:wAfter w:w="13" w:type="pct"/>
          <w:trHeight w:val="205"/>
        </w:trPr>
        <w:tc>
          <w:tcPr>
            <w:tcW w:w="4987" w:type="pct"/>
            <w:gridSpan w:val="9"/>
            <w:shd w:val="clear" w:color="auto" w:fill="F1F1F1"/>
          </w:tcPr>
          <w:p w14:paraId="0AD268BC" w14:textId="1AA335AF" w:rsidR="00D7434F" w:rsidRPr="00DA0D01" w:rsidRDefault="00D7434F">
            <w:pPr>
              <w:pStyle w:val="TableParagraph"/>
              <w:spacing w:before="8"/>
              <w:rPr>
                <w:b/>
                <w:sz w:val="20"/>
                <w:szCs w:val="20"/>
              </w:rPr>
            </w:pPr>
            <w:r>
              <w:lastRenderedPageBreak/>
              <w:br w:type="page"/>
            </w:r>
            <w:r w:rsidRPr="00DA0D01">
              <w:rPr>
                <w:b/>
                <w:sz w:val="20"/>
                <w:szCs w:val="20"/>
              </w:rPr>
              <w:t>FUNDAMENTO TEÓRICO:</w:t>
            </w:r>
          </w:p>
        </w:tc>
      </w:tr>
      <w:tr w:rsidR="00237ACC" w:rsidRPr="00DA0D01" w14:paraId="535B03D2" w14:textId="77777777" w:rsidTr="00DA7E39">
        <w:tblPrEx>
          <w:tblBorders>
            <w:bottom w:val="single" w:sz="4" w:space="0" w:color="auto"/>
          </w:tblBorders>
        </w:tblPrEx>
        <w:trPr>
          <w:gridAfter w:val="1"/>
          <w:wAfter w:w="13" w:type="pct"/>
          <w:trHeight w:val="215"/>
        </w:trPr>
        <w:tc>
          <w:tcPr>
            <w:tcW w:w="4987" w:type="pct"/>
            <w:gridSpan w:val="9"/>
          </w:tcPr>
          <w:p w14:paraId="6B819158" w14:textId="77777777" w:rsidR="00237ACC" w:rsidRDefault="00237ACC" w:rsidP="00237ACC">
            <w:pPr>
              <w:pStyle w:val="NormalWeb"/>
              <w:spacing w:before="0" w:beforeAutospacing="0" w:after="0" w:afterAutospacing="0"/>
              <w:jc w:val="both"/>
              <w:rPr>
                <w:sz w:val="22"/>
                <w:szCs w:val="22"/>
              </w:rPr>
            </w:pPr>
          </w:p>
          <w:p w14:paraId="033F6473" w14:textId="44541A0A" w:rsidR="00237ACC" w:rsidRPr="00237ACC" w:rsidRDefault="00237ACC" w:rsidP="00237ACC">
            <w:pPr>
              <w:pStyle w:val="Prrafodelista"/>
              <w:ind w:left="360" w:right="163"/>
              <w:jc w:val="center"/>
              <w:rPr>
                <w:sz w:val="20"/>
              </w:rPr>
            </w:pPr>
            <w:r w:rsidRPr="00237ACC">
              <w:rPr>
                <w:b/>
                <w:bCs/>
                <w:sz w:val="20"/>
              </w:rPr>
              <w:t>LIPIDOS</w:t>
            </w:r>
          </w:p>
          <w:p w14:paraId="64B1CD49" w14:textId="79A0E6D6" w:rsidR="00237ACC" w:rsidRPr="00237ACC" w:rsidRDefault="00237ACC" w:rsidP="00237ACC">
            <w:pPr>
              <w:spacing w:before="120"/>
              <w:ind w:right="163"/>
              <w:jc w:val="both"/>
              <w:rPr>
                <w:sz w:val="20"/>
                <w:szCs w:val="20"/>
              </w:rPr>
            </w:pPr>
            <w:r w:rsidRPr="00237ACC">
              <w:rPr>
                <w:sz w:val="20"/>
                <w:szCs w:val="20"/>
              </w:rPr>
              <w:t>Los lípidos desempeñan diferentes tipos de funciones biológicas (1):</w:t>
            </w:r>
          </w:p>
          <w:p w14:paraId="141D4E27" w14:textId="77777777" w:rsidR="00237ACC" w:rsidRPr="00237ACC" w:rsidRDefault="00237ACC" w:rsidP="00237ACC">
            <w:pPr>
              <w:widowControl/>
              <w:numPr>
                <w:ilvl w:val="0"/>
                <w:numId w:val="47"/>
              </w:numPr>
              <w:tabs>
                <w:tab w:val="num" w:pos="313"/>
              </w:tabs>
              <w:autoSpaceDE/>
              <w:autoSpaceDN/>
              <w:spacing w:before="120"/>
              <w:ind w:left="313" w:hanging="284"/>
              <w:jc w:val="both"/>
              <w:rPr>
                <w:sz w:val="20"/>
                <w:szCs w:val="20"/>
              </w:rPr>
            </w:pPr>
            <w:r w:rsidRPr="00237ACC">
              <w:rPr>
                <w:b/>
                <w:bCs/>
                <w:sz w:val="20"/>
                <w:szCs w:val="20"/>
              </w:rPr>
              <w:t>Función de reserva energética</w:t>
            </w:r>
            <w:r w:rsidRPr="00237ACC">
              <w:rPr>
                <w:i/>
                <w:iCs/>
                <w:sz w:val="20"/>
                <w:szCs w:val="20"/>
              </w:rPr>
              <w:t xml:space="preserve">. </w:t>
            </w:r>
            <w:r w:rsidRPr="00237ACC">
              <w:rPr>
                <w:iCs/>
                <w:sz w:val="20"/>
                <w:szCs w:val="20"/>
              </w:rPr>
              <w:t>Los triglicéridos son la principal reserva de energía de los animales ya que un gramo de grasa produce 9,4 kilocalorías en las reacciones metabólicas de oxidación, mientras que las proteínas y los glúcidos sólo producen 4,1 kilocalorías por gramo.</w:t>
            </w:r>
          </w:p>
          <w:p w14:paraId="434BDF79" w14:textId="77777777" w:rsidR="00237ACC" w:rsidRPr="00237ACC" w:rsidRDefault="00237ACC" w:rsidP="00237ACC">
            <w:pPr>
              <w:widowControl/>
              <w:numPr>
                <w:ilvl w:val="0"/>
                <w:numId w:val="47"/>
              </w:numPr>
              <w:tabs>
                <w:tab w:val="num" w:pos="313"/>
              </w:tabs>
              <w:autoSpaceDE/>
              <w:autoSpaceDN/>
              <w:spacing w:before="120"/>
              <w:ind w:left="313" w:hanging="284"/>
              <w:jc w:val="both"/>
              <w:rPr>
                <w:sz w:val="20"/>
                <w:szCs w:val="20"/>
              </w:rPr>
            </w:pPr>
            <w:r w:rsidRPr="00237ACC">
              <w:rPr>
                <w:b/>
                <w:bCs/>
                <w:sz w:val="20"/>
                <w:szCs w:val="20"/>
              </w:rPr>
              <w:t>Función estructural</w:t>
            </w:r>
            <w:r w:rsidRPr="00237ACC">
              <w:rPr>
                <w:sz w:val="20"/>
                <w:szCs w:val="20"/>
              </w:rPr>
              <w:t>. Los fosfolípidos, los glucolípidos y el colesterol forman las bicapas lipídicas de las membranas celulares. Los triglicéridos del tejido adiposo recubren y proporcionan consistencia a los órganos y protegen mecánicamente estructuras o son aislantes térmicos.</w:t>
            </w:r>
          </w:p>
          <w:p w14:paraId="50C8EC5D" w14:textId="77777777" w:rsidR="00237ACC" w:rsidRPr="00237ACC" w:rsidRDefault="00237ACC" w:rsidP="00237ACC">
            <w:pPr>
              <w:widowControl/>
              <w:numPr>
                <w:ilvl w:val="0"/>
                <w:numId w:val="47"/>
              </w:numPr>
              <w:tabs>
                <w:tab w:val="num" w:pos="313"/>
              </w:tabs>
              <w:autoSpaceDE/>
              <w:autoSpaceDN/>
              <w:spacing w:before="120"/>
              <w:ind w:left="313" w:hanging="284"/>
              <w:jc w:val="both"/>
              <w:rPr>
                <w:sz w:val="20"/>
                <w:szCs w:val="20"/>
              </w:rPr>
            </w:pPr>
            <w:r w:rsidRPr="00237ACC">
              <w:rPr>
                <w:b/>
                <w:bCs/>
                <w:sz w:val="20"/>
                <w:szCs w:val="20"/>
              </w:rPr>
              <w:t>Función reguladora, hormonal o de comunicación celular</w:t>
            </w:r>
            <w:r w:rsidRPr="00237ACC">
              <w:rPr>
                <w:sz w:val="20"/>
                <w:szCs w:val="20"/>
              </w:rPr>
              <w:t>. Las vitaminas liposolubles son de naturaleza lipídica (terpenos, esteroides); las hormonas esteroides regulan el metabolismo y las funciones de reproducción; los glucolípidos actúan como receptores de membrana; los eicosanoides poseen un papel destacado en la comunicación celular, inflamación, respuesta inmune, etc.</w:t>
            </w:r>
          </w:p>
          <w:p w14:paraId="47208998" w14:textId="77777777" w:rsidR="00237ACC" w:rsidRPr="00237ACC" w:rsidRDefault="00237ACC" w:rsidP="00237ACC">
            <w:pPr>
              <w:widowControl/>
              <w:numPr>
                <w:ilvl w:val="0"/>
                <w:numId w:val="47"/>
              </w:numPr>
              <w:tabs>
                <w:tab w:val="num" w:pos="313"/>
              </w:tabs>
              <w:autoSpaceDE/>
              <w:autoSpaceDN/>
              <w:spacing w:before="120"/>
              <w:ind w:left="313" w:hanging="284"/>
              <w:jc w:val="both"/>
              <w:rPr>
                <w:sz w:val="20"/>
                <w:szCs w:val="20"/>
              </w:rPr>
            </w:pPr>
            <w:r w:rsidRPr="00237ACC">
              <w:rPr>
                <w:b/>
                <w:bCs/>
                <w:sz w:val="20"/>
                <w:szCs w:val="20"/>
              </w:rPr>
              <w:t>Función transportadora</w:t>
            </w:r>
            <w:r w:rsidRPr="00237ACC">
              <w:rPr>
                <w:sz w:val="20"/>
                <w:szCs w:val="20"/>
              </w:rPr>
              <w:t>. El transporte de lípidos desde el intestino hasta su lugar de destino se realiza mediante su emulsión gracias a los ácidos biliares y a las lipoproteínas.</w:t>
            </w:r>
          </w:p>
          <w:p w14:paraId="464B75F1" w14:textId="77777777" w:rsidR="00237ACC" w:rsidRPr="00237ACC" w:rsidRDefault="00237ACC" w:rsidP="00237ACC">
            <w:pPr>
              <w:widowControl/>
              <w:numPr>
                <w:ilvl w:val="0"/>
                <w:numId w:val="47"/>
              </w:numPr>
              <w:tabs>
                <w:tab w:val="num" w:pos="313"/>
              </w:tabs>
              <w:autoSpaceDE/>
              <w:autoSpaceDN/>
              <w:spacing w:before="120"/>
              <w:ind w:left="313" w:hanging="284"/>
              <w:jc w:val="both"/>
              <w:rPr>
                <w:sz w:val="20"/>
                <w:szCs w:val="20"/>
              </w:rPr>
            </w:pPr>
            <w:r w:rsidRPr="00237ACC">
              <w:rPr>
                <w:b/>
                <w:bCs/>
                <w:sz w:val="20"/>
                <w:szCs w:val="20"/>
              </w:rPr>
              <w:t>Función Biocatalizadora</w:t>
            </w:r>
            <w:r w:rsidRPr="00237ACC">
              <w:rPr>
                <w:sz w:val="20"/>
                <w:szCs w:val="20"/>
              </w:rPr>
              <w:t>. En este papel los lípidos favorecen o facilitan las reacciones químicas que se producen en los seres vivos. Cumplen esta función las vitaminas lipídicas, las hormonas esteroideas y las prostaglandinas.</w:t>
            </w:r>
          </w:p>
          <w:p w14:paraId="57F883B4" w14:textId="77777777" w:rsidR="00237ACC" w:rsidRPr="00237ACC" w:rsidRDefault="00237ACC" w:rsidP="00237ACC">
            <w:pPr>
              <w:spacing w:before="120"/>
              <w:ind w:left="360"/>
              <w:jc w:val="center"/>
              <w:rPr>
                <w:sz w:val="20"/>
                <w:szCs w:val="20"/>
                <w:u w:val="single"/>
              </w:rPr>
            </w:pPr>
            <w:r w:rsidRPr="00237ACC">
              <w:rPr>
                <w:b/>
                <w:sz w:val="20"/>
                <w:szCs w:val="20"/>
                <w:u w:val="single"/>
              </w:rPr>
              <w:t>TRIGLICÉRIDOS</w:t>
            </w:r>
          </w:p>
          <w:p w14:paraId="73E17278" w14:textId="77777777" w:rsidR="00237ACC" w:rsidRPr="00237ACC" w:rsidRDefault="00237ACC" w:rsidP="00237ACC">
            <w:pPr>
              <w:adjustRightInd w:val="0"/>
              <w:spacing w:before="120"/>
              <w:ind w:left="426" w:right="-1020"/>
              <w:rPr>
                <w:b/>
                <w:color w:val="000000"/>
                <w:sz w:val="20"/>
                <w:szCs w:val="20"/>
              </w:rPr>
            </w:pPr>
            <w:r w:rsidRPr="00237ACC">
              <w:rPr>
                <w:b/>
                <w:iCs/>
                <w:color w:val="000000"/>
                <w:sz w:val="20"/>
                <w:szCs w:val="20"/>
              </w:rPr>
              <w:t xml:space="preserve">MÉTODO DE ANALISIS: ENZIMÁTICO COLORIMÉTRICO, </w:t>
            </w:r>
            <w:r w:rsidRPr="00237ACC">
              <w:rPr>
                <w:b/>
                <w:color w:val="000000"/>
                <w:sz w:val="20"/>
                <w:szCs w:val="20"/>
              </w:rPr>
              <w:t>PUNTO FINAL</w:t>
            </w:r>
          </w:p>
          <w:p w14:paraId="0885042D" w14:textId="4A07A4AC" w:rsidR="00237ACC" w:rsidRPr="00237ACC" w:rsidRDefault="00237ACC" w:rsidP="00237ACC">
            <w:pPr>
              <w:pStyle w:val="Default"/>
              <w:spacing w:before="120"/>
              <w:ind w:left="426"/>
              <w:jc w:val="both"/>
              <w:rPr>
                <w:color w:val="auto"/>
                <w:sz w:val="20"/>
                <w:szCs w:val="20"/>
              </w:rPr>
            </w:pPr>
            <w:r w:rsidRPr="00237ACC">
              <w:rPr>
                <w:color w:val="auto"/>
                <w:sz w:val="20"/>
                <w:szCs w:val="20"/>
              </w:rPr>
              <w:t xml:space="preserve">El método está basado en la hidrólisis enzimática de los Triglicéridos séricos a Glicerol y Ácidos Grasos Libres (FFA) por acción de la </w:t>
            </w:r>
            <w:proofErr w:type="spellStart"/>
            <w:r w:rsidRPr="00237ACC">
              <w:rPr>
                <w:color w:val="auto"/>
                <w:sz w:val="20"/>
                <w:szCs w:val="20"/>
              </w:rPr>
              <w:t>Lipoprotein</w:t>
            </w:r>
            <w:proofErr w:type="spellEnd"/>
            <w:r w:rsidRPr="00237ACC">
              <w:rPr>
                <w:color w:val="auto"/>
                <w:sz w:val="20"/>
                <w:szCs w:val="20"/>
              </w:rPr>
              <w:t xml:space="preserve"> Lipasa (LPL). El Glicerol es fosforilado por el </w:t>
            </w:r>
            <w:proofErr w:type="spellStart"/>
            <w:r w:rsidRPr="00237ACC">
              <w:rPr>
                <w:color w:val="auto"/>
                <w:sz w:val="20"/>
                <w:szCs w:val="20"/>
              </w:rPr>
              <w:t>Adenosin</w:t>
            </w:r>
            <w:proofErr w:type="spellEnd"/>
            <w:r w:rsidRPr="00237ACC">
              <w:rPr>
                <w:color w:val="auto"/>
                <w:sz w:val="20"/>
                <w:szCs w:val="20"/>
              </w:rPr>
              <w:t xml:space="preserve"> Trifosfato (ATP) en presencia de </w:t>
            </w:r>
            <w:proofErr w:type="spellStart"/>
            <w:r w:rsidRPr="00237ACC">
              <w:rPr>
                <w:color w:val="auto"/>
                <w:sz w:val="20"/>
                <w:szCs w:val="20"/>
              </w:rPr>
              <w:t>Glicerolquinasa</w:t>
            </w:r>
            <w:proofErr w:type="spellEnd"/>
            <w:r w:rsidRPr="00237ACC">
              <w:rPr>
                <w:color w:val="auto"/>
                <w:sz w:val="20"/>
                <w:szCs w:val="20"/>
              </w:rPr>
              <w:t xml:space="preserve"> (GK) para formar Glicerol-3-Fosfato (G-3-P) y </w:t>
            </w:r>
            <w:proofErr w:type="spellStart"/>
            <w:r w:rsidRPr="00237ACC">
              <w:rPr>
                <w:color w:val="auto"/>
                <w:sz w:val="20"/>
                <w:szCs w:val="20"/>
              </w:rPr>
              <w:t>Adenosin</w:t>
            </w:r>
            <w:proofErr w:type="spellEnd"/>
            <w:r w:rsidRPr="00237ACC">
              <w:rPr>
                <w:color w:val="auto"/>
                <w:sz w:val="20"/>
                <w:szCs w:val="20"/>
              </w:rPr>
              <w:t xml:space="preserve"> Difosfato (ADP). El G-3-P es oxidado por la Glicerofosfato Oxidasa (GPO) en dihidroxiacetona fosfato (DHAP) y Peróxido de Hidrógeno</w:t>
            </w:r>
            <w:r>
              <w:rPr>
                <w:color w:val="auto"/>
                <w:sz w:val="20"/>
                <w:szCs w:val="20"/>
              </w:rPr>
              <w:t xml:space="preserve"> (2)</w:t>
            </w:r>
            <w:r w:rsidRPr="00237ACC">
              <w:rPr>
                <w:color w:val="auto"/>
                <w:sz w:val="20"/>
                <w:szCs w:val="20"/>
              </w:rPr>
              <w:t xml:space="preserve">. </w:t>
            </w:r>
          </w:p>
          <w:p w14:paraId="33165075" w14:textId="3D996B15" w:rsidR="00237ACC" w:rsidRPr="00237ACC" w:rsidRDefault="00237ACC" w:rsidP="00237ACC">
            <w:pPr>
              <w:pStyle w:val="Prrafodelista"/>
              <w:spacing w:before="120"/>
              <w:ind w:left="426"/>
              <w:jc w:val="both"/>
              <w:rPr>
                <w:sz w:val="20"/>
                <w:szCs w:val="20"/>
              </w:rPr>
            </w:pPr>
            <w:r w:rsidRPr="00237ACC">
              <w:rPr>
                <w:sz w:val="20"/>
                <w:szCs w:val="20"/>
              </w:rPr>
              <w:t>En presencia de peroxidasa (POD) el Fenol y la 4-AminoAntipirina (4-AA) se condensan por acción del Peróxido de Hidrógeno (H</w:t>
            </w:r>
            <w:r w:rsidRPr="00237ACC">
              <w:rPr>
                <w:sz w:val="20"/>
                <w:szCs w:val="20"/>
                <w:vertAlign w:val="subscript"/>
              </w:rPr>
              <w:t>2</w:t>
            </w:r>
            <w:r w:rsidRPr="00237ACC">
              <w:rPr>
                <w:sz w:val="20"/>
                <w:szCs w:val="20"/>
              </w:rPr>
              <w:t>O</w:t>
            </w:r>
            <w:r w:rsidRPr="00237ACC">
              <w:rPr>
                <w:sz w:val="20"/>
                <w:szCs w:val="20"/>
                <w:vertAlign w:val="subscript"/>
              </w:rPr>
              <w:t>2</w:t>
            </w:r>
            <w:r w:rsidRPr="00237ACC">
              <w:rPr>
                <w:sz w:val="20"/>
                <w:szCs w:val="20"/>
              </w:rPr>
              <w:t>) formándose un Cromógeno (Quinonaimina) rojo proporcional a la concentración de triglicéridos presentes en la muestra</w:t>
            </w:r>
            <w:r>
              <w:rPr>
                <w:sz w:val="20"/>
                <w:szCs w:val="20"/>
              </w:rPr>
              <w:t xml:space="preserve"> (2)</w:t>
            </w:r>
            <w:r w:rsidRPr="00237ACC">
              <w:rPr>
                <w:sz w:val="20"/>
                <w:szCs w:val="20"/>
              </w:rPr>
              <w:t>.</w:t>
            </w:r>
          </w:p>
          <w:p w14:paraId="7237B7B1" w14:textId="77777777" w:rsidR="00237ACC" w:rsidRDefault="00237ACC" w:rsidP="00237ACC">
            <w:pPr>
              <w:ind w:left="127"/>
              <w:jc w:val="center"/>
              <w:rPr>
                <w:sz w:val="20"/>
                <w:szCs w:val="20"/>
              </w:rPr>
            </w:pPr>
            <w:r>
              <w:rPr>
                <w:rFonts w:ascii="Times New Roman" w:hAnsi="Times New Roman"/>
                <w:noProof/>
                <w:lang w:val="es-EC" w:eastAsia="es-EC"/>
              </w:rPr>
              <w:drawing>
                <wp:inline distT="0" distB="0" distL="0" distR="0" wp14:anchorId="3ABAC8DE" wp14:editId="3F0D293B">
                  <wp:extent cx="3829182" cy="2314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Lst>
                          </a:blip>
                          <a:srcRect l="16965" t="51695" r="45702" b="18237"/>
                          <a:stretch>
                            <a:fillRect/>
                          </a:stretch>
                        </pic:blipFill>
                        <pic:spPr bwMode="auto">
                          <a:xfrm>
                            <a:off x="0" y="0"/>
                            <a:ext cx="3830305" cy="2315254"/>
                          </a:xfrm>
                          <a:prstGeom prst="rect">
                            <a:avLst/>
                          </a:prstGeom>
                          <a:noFill/>
                          <a:ln w="9525">
                            <a:noFill/>
                            <a:miter lim="800000"/>
                            <a:headEnd/>
                            <a:tailEnd/>
                          </a:ln>
                        </pic:spPr>
                      </pic:pic>
                    </a:graphicData>
                  </a:graphic>
                </wp:inline>
              </w:drawing>
            </w:r>
          </w:p>
          <w:p w14:paraId="529DDBE5" w14:textId="77777777" w:rsidR="00BD1082" w:rsidRDefault="00BD1082" w:rsidP="00BD1082">
            <w:pPr>
              <w:adjustRightInd w:val="0"/>
              <w:spacing w:before="160" w:after="120"/>
              <w:ind w:left="6" w:firstLine="351"/>
              <w:jc w:val="both"/>
              <w:rPr>
                <w:rFonts w:ascii="Times New Roman" w:hAnsi="Times New Roman"/>
              </w:rPr>
            </w:pPr>
          </w:p>
          <w:p w14:paraId="4AED42A9" w14:textId="77777777" w:rsidR="00BD1082" w:rsidRDefault="00BD1082" w:rsidP="00BD1082">
            <w:pPr>
              <w:adjustRightInd w:val="0"/>
              <w:spacing w:before="160" w:after="120"/>
              <w:ind w:left="6" w:firstLine="351"/>
              <w:jc w:val="both"/>
              <w:rPr>
                <w:rFonts w:ascii="Times New Roman" w:hAnsi="Times New Roman"/>
              </w:rPr>
            </w:pPr>
          </w:p>
          <w:p w14:paraId="5E8F0506" w14:textId="0D09C593" w:rsidR="00BD1082" w:rsidRPr="00BD1082" w:rsidRDefault="00BD1082" w:rsidP="00BD1082">
            <w:pPr>
              <w:adjustRightInd w:val="0"/>
              <w:spacing w:before="160" w:after="120"/>
              <w:ind w:left="6" w:firstLine="351"/>
              <w:jc w:val="both"/>
              <w:rPr>
                <w:sz w:val="20"/>
                <w:szCs w:val="20"/>
              </w:rPr>
            </w:pPr>
            <w:r w:rsidRPr="00BD1082">
              <w:rPr>
                <w:sz w:val="20"/>
                <w:szCs w:val="20"/>
              </w:rPr>
              <w:t>Valores clínicos de triglicéridos empleados para clasificar grupos de riesgo:</w:t>
            </w:r>
          </w:p>
          <w:tbl>
            <w:tblPr>
              <w:tblW w:w="6814" w:type="dxa"/>
              <w:jc w:val="center"/>
              <w:tblCellMar>
                <w:left w:w="70" w:type="dxa"/>
                <w:right w:w="70" w:type="dxa"/>
              </w:tblCellMar>
              <w:tblLook w:val="04A0" w:firstRow="1" w:lastRow="0" w:firstColumn="1" w:lastColumn="0" w:noHBand="0" w:noVBand="1"/>
            </w:tblPr>
            <w:tblGrid>
              <w:gridCol w:w="3214"/>
              <w:gridCol w:w="3600"/>
            </w:tblGrid>
            <w:tr w:rsidR="00BD1082" w:rsidRPr="00BD1082" w14:paraId="2907986F" w14:textId="77777777" w:rsidTr="00A40269">
              <w:trPr>
                <w:trHeight w:val="300"/>
                <w:jc w:val="center"/>
              </w:trPr>
              <w:tc>
                <w:tcPr>
                  <w:tcW w:w="3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09D9C"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 xml:space="preserve">Triglicéridos </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B6B28C4"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Clasificación</w:t>
                  </w:r>
                </w:p>
              </w:tc>
            </w:tr>
            <w:tr w:rsidR="00BD1082" w:rsidRPr="00BD1082" w14:paraId="56A3CAEA" w14:textId="77777777" w:rsidTr="00A40269">
              <w:trPr>
                <w:trHeight w:val="300"/>
                <w:jc w:val="center"/>
              </w:trPr>
              <w:tc>
                <w:tcPr>
                  <w:tcW w:w="3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F9AC4"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&lt; 150mg/</w:t>
                  </w:r>
                  <w:proofErr w:type="spellStart"/>
                  <w:r w:rsidRPr="00BD1082">
                    <w:rPr>
                      <w:rFonts w:eastAsia="Times New Roman"/>
                      <w:color w:val="000000"/>
                      <w:sz w:val="20"/>
                      <w:szCs w:val="20"/>
                    </w:rPr>
                    <w:t>dL</w:t>
                  </w:r>
                  <w:proofErr w:type="spellEnd"/>
                  <w:r w:rsidRPr="00BD1082">
                    <w:rPr>
                      <w:rFonts w:eastAsia="Times New Roman"/>
                      <w:color w:val="000000"/>
                      <w:sz w:val="20"/>
                      <w:szCs w:val="20"/>
                    </w:rPr>
                    <w:t xml:space="preserve"> (&lt;1,7mmol/L)</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B910CC6"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Normal</w:t>
                  </w:r>
                </w:p>
              </w:tc>
            </w:tr>
            <w:tr w:rsidR="00BD1082" w:rsidRPr="00BD1082" w14:paraId="7335FE9A" w14:textId="77777777" w:rsidTr="00A40269">
              <w:trPr>
                <w:trHeight w:val="300"/>
                <w:jc w:val="center"/>
              </w:trPr>
              <w:tc>
                <w:tcPr>
                  <w:tcW w:w="3214" w:type="dxa"/>
                  <w:tcBorders>
                    <w:top w:val="nil"/>
                    <w:left w:val="single" w:sz="4" w:space="0" w:color="auto"/>
                    <w:bottom w:val="single" w:sz="4" w:space="0" w:color="auto"/>
                    <w:right w:val="single" w:sz="4" w:space="0" w:color="auto"/>
                  </w:tcBorders>
                  <w:shd w:val="clear" w:color="auto" w:fill="auto"/>
                  <w:noWrap/>
                  <w:vAlign w:val="bottom"/>
                  <w:hideMark/>
                </w:tcPr>
                <w:p w14:paraId="64AC5BAE"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150-199mg/</w:t>
                  </w:r>
                  <w:proofErr w:type="spellStart"/>
                  <w:r w:rsidRPr="00BD1082">
                    <w:rPr>
                      <w:rFonts w:eastAsia="Times New Roman"/>
                      <w:color w:val="000000"/>
                      <w:sz w:val="20"/>
                      <w:szCs w:val="20"/>
                    </w:rPr>
                    <w:t>dL</w:t>
                  </w:r>
                  <w:proofErr w:type="spellEnd"/>
                  <w:r w:rsidRPr="00BD1082">
                    <w:rPr>
                      <w:rFonts w:eastAsia="Times New Roman"/>
                      <w:color w:val="000000"/>
                      <w:sz w:val="20"/>
                      <w:szCs w:val="20"/>
                    </w:rPr>
                    <w:t xml:space="preserve"> (1,7-2.25mmol/L)</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434618E6"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Medio/Alto</w:t>
                  </w:r>
                </w:p>
              </w:tc>
            </w:tr>
            <w:tr w:rsidR="00BD1082" w:rsidRPr="00BD1082" w14:paraId="6CE9F530" w14:textId="77777777" w:rsidTr="00A40269">
              <w:trPr>
                <w:trHeight w:val="300"/>
                <w:jc w:val="center"/>
              </w:trPr>
              <w:tc>
                <w:tcPr>
                  <w:tcW w:w="3214" w:type="dxa"/>
                  <w:tcBorders>
                    <w:top w:val="nil"/>
                    <w:left w:val="single" w:sz="4" w:space="0" w:color="auto"/>
                    <w:bottom w:val="single" w:sz="4" w:space="0" w:color="auto"/>
                    <w:right w:val="single" w:sz="4" w:space="0" w:color="auto"/>
                  </w:tcBorders>
                  <w:shd w:val="clear" w:color="auto" w:fill="auto"/>
                  <w:noWrap/>
                  <w:vAlign w:val="bottom"/>
                  <w:hideMark/>
                </w:tcPr>
                <w:p w14:paraId="79754BFC"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200-499mg/</w:t>
                  </w:r>
                  <w:proofErr w:type="spellStart"/>
                  <w:r w:rsidRPr="00BD1082">
                    <w:rPr>
                      <w:rFonts w:eastAsia="Times New Roman"/>
                      <w:color w:val="000000"/>
                      <w:sz w:val="20"/>
                      <w:szCs w:val="20"/>
                    </w:rPr>
                    <w:t>dL</w:t>
                  </w:r>
                  <w:proofErr w:type="spellEnd"/>
                  <w:r w:rsidRPr="00BD1082">
                    <w:rPr>
                      <w:rFonts w:eastAsia="Times New Roman"/>
                      <w:color w:val="000000"/>
                      <w:sz w:val="20"/>
                      <w:szCs w:val="20"/>
                    </w:rPr>
                    <w:t xml:space="preserve"> (2.26-5,63mmol/L)</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23F0EE12"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 xml:space="preserve">Alto </w:t>
                  </w:r>
                </w:p>
              </w:tc>
            </w:tr>
            <w:tr w:rsidR="00BD1082" w:rsidRPr="00BD1082" w14:paraId="061CAB8E" w14:textId="77777777" w:rsidTr="00A40269">
              <w:trPr>
                <w:trHeight w:val="300"/>
                <w:jc w:val="center"/>
              </w:trPr>
              <w:tc>
                <w:tcPr>
                  <w:tcW w:w="3214" w:type="dxa"/>
                  <w:tcBorders>
                    <w:top w:val="nil"/>
                    <w:left w:val="single" w:sz="4" w:space="0" w:color="auto"/>
                    <w:bottom w:val="single" w:sz="4" w:space="0" w:color="auto"/>
                    <w:right w:val="single" w:sz="4" w:space="0" w:color="auto"/>
                  </w:tcBorders>
                  <w:shd w:val="clear" w:color="auto" w:fill="auto"/>
                  <w:noWrap/>
                  <w:vAlign w:val="bottom"/>
                  <w:hideMark/>
                </w:tcPr>
                <w:p w14:paraId="66702BAB"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 500mg/</w:t>
                  </w:r>
                  <w:proofErr w:type="spellStart"/>
                  <w:r w:rsidRPr="00BD1082">
                    <w:rPr>
                      <w:rFonts w:eastAsia="Times New Roman"/>
                      <w:color w:val="000000"/>
                      <w:sz w:val="20"/>
                      <w:szCs w:val="20"/>
                    </w:rPr>
                    <w:t>dL</w:t>
                  </w:r>
                  <w:proofErr w:type="spellEnd"/>
                  <w:r w:rsidRPr="00BD1082">
                    <w:rPr>
                      <w:rFonts w:eastAsia="Times New Roman"/>
                      <w:color w:val="000000"/>
                      <w:sz w:val="20"/>
                      <w:szCs w:val="20"/>
                    </w:rPr>
                    <w:t xml:space="preserve"> (≥5,65mmol/L)</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78483B6D" w14:textId="77777777" w:rsidR="00BD1082" w:rsidRPr="00BD1082" w:rsidRDefault="00BD1082" w:rsidP="00BD1082">
                  <w:pPr>
                    <w:jc w:val="both"/>
                    <w:rPr>
                      <w:rFonts w:eastAsia="Times New Roman"/>
                      <w:color w:val="000000"/>
                      <w:sz w:val="20"/>
                      <w:szCs w:val="20"/>
                    </w:rPr>
                  </w:pPr>
                  <w:r w:rsidRPr="00BD1082">
                    <w:rPr>
                      <w:rFonts w:eastAsia="Times New Roman"/>
                      <w:color w:val="000000"/>
                      <w:sz w:val="20"/>
                      <w:szCs w:val="20"/>
                    </w:rPr>
                    <w:t>Muy Alto</w:t>
                  </w:r>
                </w:p>
              </w:tc>
            </w:tr>
          </w:tbl>
          <w:p w14:paraId="14EE09E1" w14:textId="77777777" w:rsidR="00BD1082" w:rsidRPr="00BD1082" w:rsidRDefault="00BD1082" w:rsidP="00BD1082">
            <w:pPr>
              <w:pStyle w:val="Prrafodelista"/>
              <w:ind w:left="426"/>
              <w:jc w:val="both"/>
              <w:rPr>
                <w:b/>
                <w:sz w:val="20"/>
                <w:szCs w:val="20"/>
              </w:rPr>
            </w:pPr>
          </w:p>
          <w:p w14:paraId="0AFDC56C" w14:textId="77777777" w:rsidR="00BD1082" w:rsidRPr="00BD1082" w:rsidRDefault="00BD1082" w:rsidP="00BD1082">
            <w:pPr>
              <w:adjustRightInd w:val="0"/>
              <w:spacing w:before="160" w:after="120"/>
              <w:ind w:left="360"/>
              <w:jc w:val="both"/>
              <w:rPr>
                <w:sz w:val="20"/>
                <w:szCs w:val="20"/>
              </w:rPr>
            </w:pPr>
            <w:r w:rsidRPr="00BD1082">
              <w:rPr>
                <w:sz w:val="20"/>
                <w:szCs w:val="20"/>
              </w:rPr>
              <w:t>Valores clínicos de colesterol total empleados para clasificar grupos de riesgo:</w:t>
            </w:r>
          </w:p>
          <w:p w14:paraId="448B7B0E" w14:textId="77777777" w:rsidR="00BD1082" w:rsidRPr="00BD1082" w:rsidRDefault="00BD1082" w:rsidP="00BD1082">
            <w:pPr>
              <w:jc w:val="both"/>
              <w:rPr>
                <w:b/>
                <w:sz w:val="20"/>
                <w:szCs w:val="20"/>
              </w:rPr>
            </w:pPr>
            <w:r w:rsidRPr="00BD1082">
              <w:rPr>
                <w:b/>
                <w:sz w:val="20"/>
                <w:szCs w:val="20"/>
              </w:rPr>
              <w:t>INTERFERENCIAS</w:t>
            </w:r>
          </w:p>
          <w:p w14:paraId="35FC921E" w14:textId="77777777" w:rsidR="00BD1082" w:rsidRPr="00BD1082" w:rsidRDefault="00BD1082" w:rsidP="00BD1082">
            <w:pPr>
              <w:pStyle w:val="Prrafodelista"/>
              <w:ind w:left="426"/>
              <w:jc w:val="both"/>
              <w:rPr>
                <w:b/>
                <w:sz w:val="20"/>
                <w:szCs w:val="20"/>
              </w:rPr>
            </w:pPr>
          </w:p>
          <w:p w14:paraId="357E4E0F" w14:textId="77777777" w:rsidR="00BD1082" w:rsidRPr="00BD1082" w:rsidRDefault="00BD1082" w:rsidP="00BD1082">
            <w:pPr>
              <w:pStyle w:val="Default"/>
              <w:numPr>
                <w:ilvl w:val="0"/>
                <w:numId w:val="50"/>
              </w:numPr>
              <w:spacing w:line="360" w:lineRule="auto"/>
              <w:ind w:left="357" w:firstLine="69"/>
              <w:jc w:val="both"/>
              <w:rPr>
                <w:sz w:val="20"/>
                <w:szCs w:val="20"/>
              </w:rPr>
            </w:pPr>
            <w:r w:rsidRPr="00BD1082">
              <w:rPr>
                <w:sz w:val="20"/>
                <w:szCs w:val="20"/>
              </w:rPr>
              <w:t xml:space="preserve">Lipemia (&gt;2 g/L) puede afectar los resultados. </w:t>
            </w:r>
          </w:p>
          <w:p w14:paraId="49856207" w14:textId="77777777" w:rsidR="00BD1082" w:rsidRPr="00BD1082" w:rsidRDefault="00BD1082" w:rsidP="00BD1082">
            <w:pPr>
              <w:pStyle w:val="Default"/>
              <w:numPr>
                <w:ilvl w:val="0"/>
                <w:numId w:val="50"/>
              </w:numPr>
              <w:spacing w:line="360" w:lineRule="auto"/>
              <w:ind w:left="357" w:firstLine="69"/>
              <w:jc w:val="both"/>
              <w:rPr>
                <w:sz w:val="20"/>
                <w:szCs w:val="20"/>
              </w:rPr>
            </w:pPr>
            <w:r w:rsidRPr="00BD1082">
              <w:rPr>
                <w:sz w:val="20"/>
                <w:szCs w:val="20"/>
              </w:rPr>
              <w:t>Bilirrubina (20 mg/</w:t>
            </w:r>
            <w:proofErr w:type="spellStart"/>
            <w:r w:rsidRPr="00BD1082">
              <w:rPr>
                <w:sz w:val="20"/>
                <w:szCs w:val="20"/>
              </w:rPr>
              <w:t>dL</w:t>
            </w:r>
            <w:proofErr w:type="spellEnd"/>
            <w:r w:rsidRPr="00BD1082">
              <w:rPr>
                <w:sz w:val="20"/>
                <w:szCs w:val="20"/>
              </w:rPr>
              <w:t xml:space="preserve">) no interfiere. </w:t>
            </w:r>
          </w:p>
          <w:p w14:paraId="1D0E7273" w14:textId="77777777" w:rsidR="00BD1082" w:rsidRPr="00BD1082" w:rsidRDefault="00BD1082" w:rsidP="00BD1082">
            <w:pPr>
              <w:pStyle w:val="Default"/>
              <w:numPr>
                <w:ilvl w:val="0"/>
                <w:numId w:val="50"/>
              </w:numPr>
              <w:spacing w:line="360" w:lineRule="auto"/>
              <w:ind w:left="357" w:firstLine="69"/>
              <w:jc w:val="both"/>
              <w:rPr>
                <w:sz w:val="20"/>
                <w:szCs w:val="20"/>
              </w:rPr>
            </w:pPr>
            <w:r w:rsidRPr="00BD1082">
              <w:rPr>
                <w:sz w:val="20"/>
                <w:szCs w:val="20"/>
              </w:rPr>
              <w:t xml:space="preserve">Hemoglobina puede afectar los resultados </w:t>
            </w:r>
          </w:p>
          <w:p w14:paraId="4E495954" w14:textId="77777777" w:rsidR="00BD1082" w:rsidRPr="00BD1082" w:rsidRDefault="00BD1082" w:rsidP="00BD1082">
            <w:pPr>
              <w:pStyle w:val="Prrafodelista"/>
              <w:ind w:left="360"/>
              <w:jc w:val="both"/>
              <w:rPr>
                <w:b/>
                <w:sz w:val="20"/>
                <w:szCs w:val="20"/>
              </w:rPr>
            </w:pPr>
          </w:p>
          <w:p w14:paraId="6EF4C427" w14:textId="77777777" w:rsidR="00BD1082" w:rsidRPr="00BD1082" w:rsidRDefault="00BD1082" w:rsidP="00BD1082">
            <w:pPr>
              <w:pStyle w:val="Default"/>
              <w:jc w:val="both"/>
              <w:rPr>
                <w:b/>
                <w:color w:val="auto"/>
                <w:sz w:val="20"/>
                <w:szCs w:val="20"/>
              </w:rPr>
            </w:pPr>
            <w:r w:rsidRPr="00BD1082">
              <w:rPr>
                <w:b/>
                <w:color w:val="auto"/>
                <w:sz w:val="20"/>
                <w:szCs w:val="20"/>
              </w:rPr>
              <w:t>SIGNIFICADO CLINICO</w:t>
            </w:r>
          </w:p>
          <w:p w14:paraId="4B361239" w14:textId="0F1635CB" w:rsidR="00BD1082" w:rsidRPr="00BD1082" w:rsidRDefault="00BD1082" w:rsidP="00BD1082">
            <w:pPr>
              <w:pStyle w:val="Default"/>
              <w:spacing w:before="120"/>
              <w:jc w:val="both"/>
              <w:rPr>
                <w:sz w:val="20"/>
                <w:szCs w:val="20"/>
              </w:rPr>
            </w:pPr>
            <w:r w:rsidRPr="00BD1082">
              <w:rPr>
                <w:sz w:val="20"/>
                <w:szCs w:val="20"/>
              </w:rPr>
              <w:t xml:space="preserve">El conocimiento del nivel plasmático de lípidos (triglicéridos y colesterol) y derivados lipídicos, especialmente lipoproteínas (HDL y LDL), ayudan en el diagnóstico de muchos desórdenes metabólicos o condiciones con alto riesgo. Un desequilibrio en el nivel de lipoproteínas plasmáticas conduce a una </w:t>
            </w:r>
            <w:r w:rsidRPr="00BD1082">
              <w:rPr>
                <w:iCs/>
                <w:sz w:val="20"/>
                <w:szCs w:val="20"/>
              </w:rPr>
              <w:t>hiperlipoproteinemia</w:t>
            </w:r>
            <w:r w:rsidRPr="00BD1082">
              <w:rPr>
                <w:sz w:val="20"/>
                <w:szCs w:val="20"/>
              </w:rPr>
              <w:t>, un grupo de trastornos que afectan a lípidos y lipoproteínas causantes de la enfermedad cardíaca coronaria y de la arterioesclerosis.</w:t>
            </w:r>
          </w:p>
          <w:p w14:paraId="29B37354" w14:textId="77777777" w:rsidR="00BD1082" w:rsidRDefault="00BD1082" w:rsidP="00BD1082">
            <w:pPr>
              <w:pStyle w:val="Default"/>
              <w:spacing w:before="120"/>
              <w:jc w:val="both"/>
              <w:rPr>
                <w:sz w:val="20"/>
                <w:szCs w:val="20"/>
              </w:rPr>
            </w:pPr>
            <w:r w:rsidRPr="00BD1082">
              <w:rPr>
                <w:sz w:val="20"/>
                <w:szCs w:val="20"/>
              </w:rPr>
              <w:t xml:space="preserve">Cada tipo de hiperlipoproteinemia está asociada con una elevación anormal de triglicéridos, colesterol o de </w:t>
            </w:r>
            <w:proofErr w:type="spellStart"/>
            <w:r w:rsidRPr="00BD1082">
              <w:rPr>
                <w:sz w:val="20"/>
                <w:szCs w:val="20"/>
              </w:rPr>
              <w:t>subfracciones</w:t>
            </w:r>
            <w:proofErr w:type="spellEnd"/>
            <w:r w:rsidRPr="00BD1082">
              <w:rPr>
                <w:sz w:val="20"/>
                <w:szCs w:val="20"/>
              </w:rPr>
              <w:t xml:space="preserve"> lipoproteicas. </w:t>
            </w:r>
            <w:r>
              <w:rPr>
                <w:sz w:val="20"/>
                <w:szCs w:val="20"/>
              </w:rPr>
              <w:t xml:space="preserve"> </w:t>
            </w:r>
            <w:r w:rsidRPr="00BD1082">
              <w:rPr>
                <w:sz w:val="20"/>
                <w:szCs w:val="20"/>
              </w:rPr>
              <w:t>Estudios en curso</w:t>
            </w:r>
            <w:r w:rsidRPr="00BD1082">
              <w:rPr>
                <w:position w:val="6"/>
                <w:sz w:val="20"/>
                <w:szCs w:val="20"/>
                <w:vertAlign w:val="superscript"/>
              </w:rPr>
              <w:t xml:space="preserve"> </w:t>
            </w:r>
            <w:r w:rsidRPr="00BD1082">
              <w:rPr>
                <w:sz w:val="20"/>
                <w:szCs w:val="20"/>
              </w:rPr>
              <w:t xml:space="preserve">indican que la tasa de triglicéridos por sí misma es también un factor de riesgo independiente de la enfermedad cardíaca coronaria. El hallazgo que unos triglicéridos elevados sean un factor de riesgo independiente sugiere que algunas lipoproteínas ricas en triglicéridos son </w:t>
            </w:r>
            <w:proofErr w:type="spellStart"/>
            <w:r w:rsidRPr="00BD1082">
              <w:rPr>
                <w:sz w:val="20"/>
                <w:szCs w:val="20"/>
              </w:rPr>
              <w:t>aterogénicas</w:t>
            </w:r>
            <w:proofErr w:type="spellEnd"/>
            <w:r w:rsidRPr="00BD1082">
              <w:rPr>
                <w:sz w:val="20"/>
                <w:szCs w:val="20"/>
              </w:rPr>
              <w:t>.</w:t>
            </w:r>
          </w:p>
          <w:p w14:paraId="3DB692E8" w14:textId="77777777" w:rsidR="00BD1082" w:rsidRDefault="00BD1082" w:rsidP="00BD1082">
            <w:pPr>
              <w:pStyle w:val="Default"/>
              <w:spacing w:before="120"/>
              <w:jc w:val="both"/>
              <w:rPr>
                <w:sz w:val="20"/>
                <w:szCs w:val="20"/>
              </w:rPr>
            </w:pPr>
          </w:p>
          <w:p w14:paraId="6C535118" w14:textId="645C22F9" w:rsidR="00BD1082" w:rsidRPr="004573A1" w:rsidRDefault="00BD1082" w:rsidP="00BD1082">
            <w:pPr>
              <w:pStyle w:val="Default"/>
              <w:spacing w:before="120"/>
              <w:jc w:val="both"/>
              <w:rPr>
                <w:sz w:val="20"/>
                <w:szCs w:val="20"/>
              </w:rPr>
            </w:pPr>
          </w:p>
        </w:tc>
      </w:tr>
    </w:tbl>
    <w:p w14:paraId="65AE841A" w14:textId="77777777" w:rsidR="00C46490" w:rsidRDefault="00C46490">
      <w:pPr>
        <w:spacing w:line="77" w:lineRule="exact"/>
        <w:rPr>
          <w:sz w:val="15"/>
        </w:rPr>
        <w:sectPr w:rsidR="00C46490">
          <w:headerReference w:type="default" r:id="rId10"/>
          <w:type w:val="continuous"/>
          <w:pgSz w:w="12240" w:h="15840"/>
          <w:pgMar w:top="1080" w:right="980" w:bottom="280" w:left="1680" w:header="720" w:footer="720" w:gutter="0"/>
          <w:cols w:space="720"/>
        </w:sectPr>
      </w:pPr>
    </w:p>
    <w:tbl>
      <w:tblPr>
        <w:tblStyle w:val="TableNormal"/>
        <w:tblW w:w="9458"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51"/>
        <w:gridCol w:w="128"/>
        <w:gridCol w:w="2871"/>
        <w:gridCol w:w="225"/>
        <w:gridCol w:w="3183"/>
      </w:tblGrid>
      <w:tr w:rsidR="00C46490" w:rsidRPr="004D5B4F" w14:paraId="17065D6D" w14:textId="77777777" w:rsidTr="00BD1082">
        <w:trPr>
          <w:trHeight w:val="205"/>
        </w:trPr>
        <w:tc>
          <w:tcPr>
            <w:tcW w:w="9458" w:type="dxa"/>
            <w:gridSpan w:val="5"/>
            <w:shd w:val="clear" w:color="auto" w:fill="F1F1F1"/>
          </w:tcPr>
          <w:p w14:paraId="730EBA1A" w14:textId="77777777" w:rsidR="00C46490" w:rsidRPr="004D5B4F" w:rsidRDefault="00A13EED" w:rsidP="001F4154">
            <w:pPr>
              <w:pStyle w:val="TableParagraph"/>
              <w:spacing w:before="8"/>
              <w:ind w:left="0"/>
              <w:rPr>
                <w:b/>
                <w:sz w:val="20"/>
                <w:szCs w:val="20"/>
              </w:rPr>
            </w:pPr>
            <w:r w:rsidRPr="004D5B4F">
              <w:rPr>
                <w:b/>
                <w:sz w:val="20"/>
                <w:szCs w:val="20"/>
              </w:rPr>
              <w:t>MATERIALES Y MÉTODOS</w:t>
            </w:r>
          </w:p>
        </w:tc>
      </w:tr>
      <w:tr w:rsidR="00C46490" w:rsidRPr="004D5B4F" w14:paraId="51E5A45A" w14:textId="77777777" w:rsidTr="00BD1082">
        <w:trPr>
          <w:trHeight w:val="217"/>
        </w:trPr>
        <w:tc>
          <w:tcPr>
            <w:tcW w:w="3051" w:type="dxa"/>
          </w:tcPr>
          <w:p w14:paraId="6A3ADA50" w14:textId="77777777" w:rsidR="00C46490" w:rsidRPr="004D5B4F" w:rsidRDefault="00A13EED">
            <w:pPr>
              <w:pStyle w:val="TableParagraph"/>
              <w:spacing w:before="15"/>
              <w:ind w:left="519" w:right="500"/>
              <w:jc w:val="center"/>
              <w:rPr>
                <w:b/>
                <w:sz w:val="20"/>
                <w:szCs w:val="20"/>
              </w:rPr>
            </w:pPr>
            <w:r w:rsidRPr="004D5B4F">
              <w:rPr>
                <w:b/>
                <w:sz w:val="20"/>
                <w:szCs w:val="20"/>
              </w:rPr>
              <w:t>Equipos</w:t>
            </w:r>
          </w:p>
        </w:tc>
        <w:tc>
          <w:tcPr>
            <w:tcW w:w="3224" w:type="dxa"/>
            <w:gridSpan w:val="3"/>
          </w:tcPr>
          <w:p w14:paraId="6ED62659" w14:textId="77777777" w:rsidR="00C46490" w:rsidRPr="004D5B4F" w:rsidRDefault="00A13EED">
            <w:pPr>
              <w:pStyle w:val="TableParagraph"/>
              <w:spacing w:before="15"/>
              <w:ind w:left="644" w:right="628"/>
              <w:jc w:val="center"/>
              <w:rPr>
                <w:b/>
                <w:sz w:val="20"/>
                <w:szCs w:val="20"/>
              </w:rPr>
            </w:pPr>
            <w:r w:rsidRPr="004D5B4F">
              <w:rPr>
                <w:b/>
                <w:sz w:val="20"/>
                <w:szCs w:val="20"/>
              </w:rPr>
              <w:t>Materiales</w:t>
            </w:r>
          </w:p>
        </w:tc>
        <w:tc>
          <w:tcPr>
            <w:tcW w:w="3183" w:type="dxa"/>
          </w:tcPr>
          <w:p w14:paraId="288A04C4" w14:textId="77777777" w:rsidR="00C46490" w:rsidRPr="004D5B4F" w:rsidRDefault="00A13EED">
            <w:pPr>
              <w:pStyle w:val="TableParagraph"/>
              <w:spacing w:before="15"/>
              <w:ind w:left="190" w:right="175"/>
              <w:jc w:val="center"/>
              <w:rPr>
                <w:b/>
                <w:sz w:val="20"/>
                <w:szCs w:val="20"/>
              </w:rPr>
            </w:pPr>
            <w:r w:rsidRPr="004D5B4F">
              <w:rPr>
                <w:b/>
                <w:sz w:val="20"/>
                <w:szCs w:val="20"/>
              </w:rPr>
              <w:t>Reactivos</w:t>
            </w:r>
          </w:p>
        </w:tc>
      </w:tr>
      <w:tr w:rsidR="00FD74B8" w:rsidRPr="004D5B4F" w14:paraId="1A6C0DA3" w14:textId="77777777" w:rsidTr="00BD1082">
        <w:trPr>
          <w:trHeight w:val="460"/>
        </w:trPr>
        <w:tc>
          <w:tcPr>
            <w:tcW w:w="3051" w:type="dxa"/>
          </w:tcPr>
          <w:p w14:paraId="7391309B" w14:textId="333FAFBC" w:rsidR="00FD74B8" w:rsidRPr="00B30879" w:rsidRDefault="00FD74B8" w:rsidP="00FD74B8">
            <w:pPr>
              <w:pStyle w:val="TableParagraph"/>
              <w:numPr>
                <w:ilvl w:val="0"/>
                <w:numId w:val="3"/>
              </w:numPr>
              <w:ind w:left="291" w:right="68" w:hanging="231"/>
              <w:jc w:val="both"/>
              <w:rPr>
                <w:sz w:val="20"/>
                <w:szCs w:val="20"/>
              </w:rPr>
            </w:pPr>
            <w:r w:rsidRPr="00B30879">
              <w:rPr>
                <w:sz w:val="20"/>
                <w:szCs w:val="20"/>
              </w:rPr>
              <w:t xml:space="preserve">Fotómetro o colorímetro para mediciones a </w:t>
            </w:r>
            <w:r w:rsidR="00237ACC">
              <w:rPr>
                <w:sz w:val="20"/>
                <w:szCs w:val="20"/>
                <w:highlight w:val="cyan"/>
              </w:rPr>
              <w:t>500 ± 20</w:t>
            </w:r>
            <w:r w:rsidRPr="00C16CDB">
              <w:rPr>
                <w:sz w:val="20"/>
                <w:szCs w:val="20"/>
                <w:highlight w:val="cyan"/>
              </w:rPr>
              <w:t xml:space="preserve"> nm</w:t>
            </w:r>
            <w:r w:rsidRPr="00B30879">
              <w:rPr>
                <w:sz w:val="20"/>
                <w:szCs w:val="20"/>
              </w:rPr>
              <w:t xml:space="preserve">, con </w:t>
            </w:r>
            <w:r>
              <w:rPr>
                <w:sz w:val="20"/>
                <w:szCs w:val="20"/>
              </w:rPr>
              <w:t>u</w:t>
            </w:r>
            <w:r w:rsidRPr="00B30879">
              <w:rPr>
                <w:sz w:val="20"/>
                <w:szCs w:val="20"/>
              </w:rPr>
              <w:t>nidad</w:t>
            </w:r>
            <w:r>
              <w:rPr>
                <w:sz w:val="20"/>
                <w:szCs w:val="20"/>
              </w:rPr>
              <w:t xml:space="preserve"> </w:t>
            </w:r>
            <w:proofErr w:type="spellStart"/>
            <w:r w:rsidRPr="00B30879">
              <w:rPr>
                <w:sz w:val="20"/>
                <w:szCs w:val="20"/>
              </w:rPr>
              <w:t>termostatizada</w:t>
            </w:r>
            <w:proofErr w:type="spellEnd"/>
            <w:r w:rsidRPr="00B30879">
              <w:rPr>
                <w:sz w:val="20"/>
                <w:szCs w:val="20"/>
              </w:rPr>
              <w:t xml:space="preserve"> ajustable a 37ºC</w:t>
            </w:r>
          </w:p>
          <w:p w14:paraId="24029250" w14:textId="77777777" w:rsidR="00FD74B8" w:rsidRDefault="00FD74B8" w:rsidP="00FD74B8">
            <w:pPr>
              <w:pStyle w:val="TableParagraph"/>
              <w:numPr>
                <w:ilvl w:val="0"/>
                <w:numId w:val="3"/>
              </w:numPr>
              <w:ind w:left="291" w:right="68" w:hanging="231"/>
              <w:jc w:val="both"/>
              <w:rPr>
                <w:sz w:val="20"/>
                <w:szCs w:val="20"/>
              </w:rPr>
            </w:pPr>
            <w:r w:rsidRPr="00B30879">
              <w:rPr>
                <w:sz w:val="20"/>
                <w:szCs w:val="20"/>
              </w:rPr>
              <w:t xml:space="preserve">Centrifuga </w:t>
            </w:r>
          </w:p>
          <w:p w14:paraId="11B3BF09" w14:textId="77777777" w:rsidR="00FD74B8" w:rsidRDefault="00FD74B8" w:rsidP="00FD74B8">
            <w:pPr>
              <w:pStyle w:val="TableParagraph"/>
              <w:numPr>
                <w:ilvl w:val="0"/>
                <w:numId w:val="3"/>
              </w:numPr>
              <w:ind w:left="291" w:right="68" w:hanging="231"/>
              <w:jc w:val="both"/>
              <w:rPr>
                <w:sz w:val="20"/>
                <w:szCs w:val="20"/>
              </w:rPr>
            </w:pPr>
            <w:r w:rsidRPr="00B30879">
              <w:rPr>
                <w:sz w:val="20"/>
                <w:szCs w:val="20"/>
              </w:rPr>
              <w:t>Estufa</w:t>
            </w:r>
          </w:p>
          <w:p w14:paraId="0E378E32" w14:textId="1AF90326" w:rsidR="00FD74B8" w:rsidRPr="005E419C" w:rsidRDefault="00FD74B8" w:rsidP="00237ACC">
            <w:pPr>
              <w:pStyle w:val="TableParagraph"/>
              <w:ind w:left="60" w:right="68"/>
              <w:jc w:val="both"/>
              <w:rPr>
                <w:rFonts w:eastAsiaTheme="minorHAnsi"/>
                <w:sz w:val="20"/>
                <w:szCs w:val="20"/>
                <w:lang w:val="es-EC"/>
              </w:rPr>
            </w:pPr>
          </w:p>
        </w:tc>
        <w:tc>
          <w:tcPr>
            <w:tcW w:w="3224" w:type="dxa"/>
            <w:gridSpan w:val="3"/>
          </w:tcPr>
          <w:p w14:paraId="780F9980" w14:textId="77777777" w:rsidR="00FD74B8" w:rsidRDefault="00FD74B8" w:rsidP="00FD74B8">
            <w:pPr>
              <w:pStyle w:val="TableParagraph"/>
              <w:numPr>
                <w:ilvl w:val="0"/>
                <w:numId w:val="45"/>
              </w:numPr>
              <w:ind w:left="365" w:right="68" w:hanging="283"/>
              <w:jc w:val="both"/>
              <w:rPr>
                <w:sz w:val="20"/>
                <w:szCs w:val="20"/>
              </w:rPr>
            </w:pPr>
            <w:r>
              <w:rPr>
                <w:sz w:val="20"/>
                <w:szCs w:val="20"/>
              </w:rPr>
              <w:t>Microp</w:t>
            </w:r>
            <w:r w:rsidRPr="00CA548A">
              <w:rPr>
                <w:sz w:val="20"/>
                <w:szCs w:val="20"/>
              </w:rPr>
              <w:t>ipetas automáticas 10</w:t>
            </w:r>
            <w:r>
              <w:rPr>
                <w:sz w:val="20"/>
                <w:szCs w:val="20"/>
              </w:rPr>
              <w:t>-</w:t>
            </w:r>
            <w:r w:rsidRPr="00CA548A">
              <w:rPr>
                <w:sz w:val="20"/>
                <w:szCs w:val="20"/>
              </w:rPr>
              <w:t>100µL</w:t>
            </w:r>
            <w:r>
              <w:rPr>
                <w:sz w:val="20"/>
                <w:szCs w:val="20"/>
              </w:rPr>
              <w:t xml:space="preserve">, </w:t>
            </w:r>
            <w:r w:rsidRPr="00CA548A">
              <w:rPr>
                <w:sz w:val="20"/>
                <w:szCs w:val="20"/>
              </w:rPr>
              <w:t>100</w:t>
            </w:r>
            <w:r>
              <w:rPr>
                <w:sz w:val="20"/>
                <w:szCs w:val="20"/>
              </w:rPr>
              <w:t>-</w:t>
            </w:r>
            <w:r w:rsidRPr="00CA548A">
              <w:rPr>
                <w:sz w:val="20"/>
                <w:szCs w:val="20"/>
              </w:rPr>
              <w:t>1000µL</w:t>
            </w:r>
          </w:p>
          <w:p w14:paraId="0980AD27" w14:textId="77777777" w:rsidR="00FD74B8" w:rsidRDefault="00FD74B8" w:rsidP="00FD74B8">
            <w:pPr>
              <w:pStyle w:val="TableParagraph"/>
              <w:numPr>
                <w:ilvl w:val="0"/>
                <w:numId w:val="45"/>
              </w:numPr>
              <w:ind w:left="365" w:right="68" w:hanging="283"/>
              <w:jc w:val="both"/>
              <w:rPr>
                <w:sz w:val="20"/>
                <w:szCs w:val="20"/>
              </w:rPr>
            </w:pPr>
            <w:r>
              <w:rPr>
                <w:sz w:val="20"/>
                <w:szCs w:val="20"/>
              </w:rPr>
              <w:t xml:space="preserve">Porta micropipetas </w:t>
            </w:r>
          </w:p>
          <w:p w14:paraId="287F6924" w14:textId="77777777" w:rsidR="00FD74B8" w:rsidRPr="00CA548A" w:rsidRDefault="00FD74B8" w:rsidP="00FD74B8">
            <w:pPr>
              <w:pStyle w:val="TableParagraph"/>
              <w:numPr>
                <w:ilvl w:val="0"/>
                <w:numId w:val="45"/>
              </w:numPr>
              <w:ind w:left="365" w:right="68" w:hanging="283"/>
              <w:jc w:val="both"/>
              <w:rPr>
                <w:sz w:val="20"/>
                <w:szCs w:val="20"/>
              </w:rPr>
            </w:pPr>
            <w:r w:rsidRPr="00CA548A">
              <w:rPr>
                <w:sz w:val="20"/>
                <w:szCs w:val="20"/>
              </w:rPr>
              <w:t>Temporizador</w:t>
            </w:r>
          </w:p>
          <w:p w14:paraId="3AF157DB" w14:textId="77777777" w:rsidR="00FD74B8" w:rsidRDefault="00FD74B8" w:rsidP="00FD74B8">
            <w:pPr>
              <w:pStyle w:val="TableParagraph"/>
              <w:numPr>
                <w:ilvl w:val="0"/>
                <w:numId w:val="45"/>
              </w:numPr>
              <w:ind w:left="365" w:right="68" w:hanging="283"/>
              <w:jc w:val="both"/>
              <w:rPr>
                <w:sz w:val="20"/>
                <w:szCs w:val="20"/>
              </w:rPr>
            </w:pPr>
            <w:r w:rsidRPr="00CA548A">
              <w:rPr>
                <w:sz w:val="20"/>
                <w:szCs w:val="20"/>
              </w:rPr>
              <w:t>Gradilla</w:t>
            </w:r>
          </w:p>
          <w:p w14:paraId="57C434DD" w14:textId="77777777" w:rsidR="00FD74B8" w:rsidRPr="00237ACC" w:rsidRDefault="00FD74B8" w:rsidP="00FD74B8">
            <w:pPr>
              <w:pStyle w:val="TableParagraph"/>
              <w:numPr>
                <w:ilvl w:val="0"/>
                <w:numId w:val="45"/>
              </w:numPr>
              <w:ind w:left="365" w:right="68" w:hanging="283"/>
              <w:jc w:val="both"/>
              <w:rPr>
                <w:bCs/>
                <w:sz w:val="20"/>
                <w:szCs w:val="20"/>
              </w:rPr>
            </w:pPr>
            <w:r w:rsidRPr="00237ACC">
              <w:rPr>
                <w:bCs/>
                <w:sz w:val="20"/>
                <w:szCs w:val="20"/>
              </w:rPr>
              <w:t xml:space="preserve">Tubos de ensayo de limpios grandes y pequeños y secos </w:t>
            </w:r>
          </w:p>
          <w:p w14:paraId="1D2CE6FE" w14:textId="77777777" w:rsidR="00FD74B8" w:rsidRDefault="00FD74B8" w:rsidP="00FD74B8">
            <w:pPr>
              <w:pStyle w:val="TableParagraph"/>
              <w:numPr>
                <w:ilvl w:val="0"/>
                <w:numId w:val="45"/>
              </w:numPr>
              <w:ind w:left="365" w:right="68" w:hanging="283"/>
              <w:jc w:val="both"/>
              <w:rPr>
                <w:sz w:val="20"/>
                <w:szCs w:val="20"/>
              </w:rPr>
            </w:pPr>
            <w:r>
              <w:rPr>
                <w:sz w:val="20"/>
                <w:szCs w:val="20"/>
              </w:rPr>
              <w:t>P</w:t>
            </w:r>
            <w:r w:rsidRPr="00CA548A">
              <w:rPr>
                <w:sz w:val="20"/>
                <w:szCs w:val="20"/>
              </w:rPr>
              <w:t>untas amarillas y azules</w:t>
            </w:r>
          </w:p>
          <w:p w14:paraId="5EA6568B" w14:textId="77777777" w:rsidR="00FD74B8" w:rsidRDefault="00FD74B8" w:rsidP="00FD74B8">
            <w:pPr>
              <w:pStyle w:val="TableParagraph"/>
              <w:numPr>
                <w:ilvl w:val="0"/>
                <w:numId w:val="45"/>
              </w:numPr>
              <w:ind w:left="365" w:right="68" w:hanging="283"/>
              <w:jc w:val="both"/>
              <w:rPr>
                <w:sz w:val="20"/>
                <w:szCs w:val="20"/>
              </w:rPr>
            </w:pPr>
            <w:r>
              <w:rPr>
                <w:sz w:val="20"/>
                <w:szCs w:val="20"/>
              </w:rPr>
              <w:t>Una hoja de papel periódico</w:t>
            </w:r>
          </w:p>
          <w:p w14:paraId="3E344099" w14:textId="699BEFE1" w:rsidR="00FD74B8" w:rsidRPr="00E3605A" w:rsidRDefault="00237ACC" w:rsidP="00FD74B8">
            <w:pPr>
              <w:pStyle w:val="TableParagraph"/>
              <w:numPr>
                <w:ilvl w:val="0"/>
                <w:numId w:val="3"/>
              </w:numPr>
              <w:spacing w:before="120"/>
              <w:ind w:left="291" w:right="70" w:hanging="231"/>
              <w:jc w:val="both"/>
              <w:rPr>
                <w:bCs/>
                <w:sz w:val="20"/>
                <w:szCs w:val="20"/>
              </w:rPr>
            </w:pPr>
            <w:r w:rsidRPr="00237ACC">
              <w:rPr>
                <w:sz w:val="20"/>
                <w:szCs w:val="20"/>
                <w:highlight w:val="cyan"/>
              </w:rPr>
              <w:t>Suero sanguíneo</w:t>
            </w:r>
            <w:r>
              <w:rPr>
                <w:sz w:val="20"/>
                <w:szCs w:val="20"/>
              </w:rPr>
              <w:t xml:space="preserve"> </w:t>
            </w:r>
          </w:p>
        </w:tc>
        <w:tc>
          <w:tcPr>
            <w:tcW w:w="3183" w:type="dxa"/>
          </w:tcPr>
          <w:p w14:paraId="409FF5A0" w14:textId="6A64D911" w:rsidR="00FD74B8" w:rsidRDefault="0097480A" w:rsidP="00FD74B8">
            <w:pPr>
              <w:pStyle w:val="TableParagraph"/>
              <w:numPr>
                <w:ilvl w:val="0"/>
                <w:numId w:val="3"/>
              </w:numPr>
              <w:ind w:left="291" w:right="68" w:hanging="231"/>
              <w:jc w:val="both"/>
              <w:rPr>
                <w:sz w:val="20"/>
                <w:szCs w:val="20"/>
              </w:rPr>
            </w:pPr>
            <w:r>
              <w:rPr>
                <w:sz w:val="20"/>
                <w:szCs w:val="20"/>
              </w:rPr>
              <w:t xml:space="preserve">Kit </w:t>
            </w:r>
            <w:r w:rsidR="00237ACC">
              <w:rPr>
                <w:sz w:val="20"/>
                <w:szCs w:val="20"/>
              </w:rPr>
              <w:t>–</w:t>
            </w:r>
            <w:r>
              <w:rPr>
                <w:sz w:val="20"/>
                <w:szCs w:val="20"/>
              </w:rPr>
              <w:t xml:space="preserve"> </w:t>
            </w:r>
            <w:r w:rsidR="00237ACC">
              <w:rPr>
                <w:sz w:val="20"/>
                <w:szCs w:val="20"/>
              </w:rPr>
              <w:t xml:space="preserve">Triglicéridos </w:t>
            </w:r>
          </w:p>
          <w:p w14:paraId="193AE92E" w14:textId="77777777" w:rsidR="00BD1082" w:rsidRPr="00BD1082" w:rsidRDefault="00BD1082" w:rsidP="00BD1082">
            <w:pPr>
              <w:pStyle w:val="TableParagraph"/>
              <w:numPr>
                <w:ilvl w:val="0"/>
                <w:numId w:val="3"/>
              </w:numPr>
              <w:ind w:right="68"/>
              <w:jc w:val="both"/>
              <w:rPr>
                <w:sz w:val="20"/>
                <w:szCs w:val="20"/>
              </w:rPr>
            </w:pPr>
            <w:r w:rsidRPr="00BD1082">
              <w:rPr>
                <w:sz w:val="20"/>
                <w:szCs w:val="20"/>
              </w:rPr>
              <w:t>Mono reactivo. Tampón PIPES (piperazina-N, N'-bis-(2-etanosulfónico)) pH 6,8; LPL, GK, GPO, ATP, POD, 4-AA, Fenol, tensioactivos no-</w:t>
            </w:r>
            <w:proofErr w:type="gramStart"/>
            <w:r w:rsidRPr="00BD1082">
              <w:rPr>
                <w:sz w:val="20"/>
                <w:szCs w:val="20"/>
              </w:rPr>
              <w:t>iónicos,  Biocidas</w:t>
            </w:r>
            <w:proofErr w:type="gramEnd"/>
            <w:r w:rsidRPr="00BD1082">
              <w:rPr>
                <w:sz w:val="20"/>
                <w:szCs w:val="20"/>
              </w:rPr>
              <w:t xml:space="preserve">. </w:t>
            </w:r>
          </w:p>
          <w:p w14:paraId="539EE154" w14:textId="04104F66" w:rsidR="00FD74B8" w:rsidRDefault="00BD1082" w:rsidP="00BD1082">
            <w:pPr>
              <w:pStyle w:val="TableParagraph"/>
              <w:numPr>
                <w:ilvl w:val="0"/>
                <w:numId w:val="3"/>
              </w:numPr>
              <w:ind w:right="68"/>
              <w:jc w:val="both"/>
              <w:rPr>
                <w:sz w:val="20"/>
                <w:szCs w:val="20"/>
              </w:rPr>
            </w:pPr>
            <w:r w:rsidRPr="00BD1082">
              <w:rPr>
                <w:sz w:val="20"/>
                <w:szCs w:val="20"/>
              </w:rPr>
              <w:t>Estándar o Patrón: 200 mg/</w:t>
            </w:r>
            <w:proofErr w:type="spellStart"/>
            <w:r w:rsidRPr="00BD1082">
              <w:rPr>
                <w:sz w:val="20"/>
                <w:szCs w:val="20"/>
              </w:rPr>
              <w:t>dL</w:t>
            </w:r>
            <w:proofErr w:type="spellEnd"/>
            <w:r w:rsidRPr="00BD1082">
              <w:rPr>
                <w:sz w:val="20"/>
                <w:szCs w:val="20"/>
              </w:rPr>
              <w:t xml:space="preserve"> de glicerol </w:t>
            </w:r>
            <w:proofErr w:type="spellStart"/>
            <w:r w:rsidRPr="00BD1082">
              <w:rPr>
                <w:sz w:val="20"/>
                <w:szCs w:val="20"/>
              </w:rPr>
              <w:t>trioleato</w:t>
            </w:r>
            <w:proofErr w:type="spellEnd"/>
            <w:r w:rsidRPr="00BD1082">
              <w:rPr>
                <w:sz w:val="20"/>
                <w:szCs w:val="20"/>
              </w:rPr>
              <w:t>.</w:t>
            </w:r>
          </w:p>
          <w:p w14:paraId="7037740D" w14:textId="39B6F963" w:rsidR="00FD74B8" w:rsidRPr="00CA548A" w:rsidRDefault="00FD74B8" w:rsidP="00FD74B8">
            <w:pPr>
              <w:pStyle w:val="TableParagraph"/>
              <w:spacing w:before="120"/>
              <w:ind w:left="60" w:right="70"/>
              <w:jc w:val="both"/>
              <w:rPr>
                <w:sz w:val="20"/>
                <w:szCs w:val="20"/>
              </w:rPr>
            </w:pPr>
          </w:p>
        </w:tc>
      </w:tr>
      <w:tr w:rsidR="00C46490" w:rsidRPr="004D5B4F" w14:paraId="335A1B63" w14:textId="77777777" w:rsidTr="00BD1082">
        <w:trPr>
          <w:trHeight w:val="205"/>
        </w:trPr>
        <w:tc>
          <w:tcPr>
            <w:tcW w:w="9458" w:type="dxa"/>
            <w:gridSpan w:val="5"/>
            <w:shd w:val="clear" w:color="auto" w:fill="F1F1F1"/>
          </w:tcPr>
          <w:p w14:paraId="3E53E3E2" w14:textId="77777777" w:rsidR="00C46490" w:rsidRPr="004D5B4F" w:rsidRDefault="00A13EED">
            <w:pPr>
              <w:pStyle w:val="TableParagraph"/>
              <w:spacing w:before="8"/>
              <w:rPr>
                <w:b/>
                <w:sz w:val="20"/>
                <w:szCs w:val="20"/>
              </w:rPr>
            </w:pPr>
            <w:r w:rsidRPr="004D5B4F">
              <w:rPr>
                <w:b/>
                <w:sz w:val="20"/>
                <w:szCs w:val="20"/>
              </w:rPr>
              <w:t>PROCEDIMIENTO / TÉCNICA:</w:t>
            </w:r>
          </w:p>
        </w:tc>
      </w:tr>
      <w:tr w:rsidR="00C46490" w:rsidRPr="004D5B4F" w14:paraId="6ADE2FAF" w14:textId="77777777" w:rsidTr="00BD1082">
        <w:trPr>
          <w:trHeight w:val="206"/>
        </w:trPr>
        <w:tc>
          <w:tcPr>
            <w:tcW w:w="9458" w:type="dxa"/>
            <w:gridSpan w:val="5"/>
          </w:tcPr>
          <w:p w14:paraId="6DCEC561" w14:textId="77777777" w:rsidR="00BD1082" w:rsidRPr="00BD1082" w:rsidRDefault="00BD1082" w:rsidP="00BD1082">
            <w:pPr>
              <w:pStyle w:val="Prrafodelista"/>
              <w:widowControl/>
              <w:numPr>
                <w:ilvl w:val="0"/>
                <w:numId w:val="48"/>
              </w:numPr>
              <w:autoSpaceDE/>
              <w:autoSpaceDN/>
              <w:spacing w:before="120"/>
              <w:ind w:left="720"/>
              <w:contextualSpacing/>
              <w:jc w:val="both"/>
              <w:rPr>
                <w:sz w:val="20"/>
                <w:szCs w:val="20"/>
              </w:rPr>
            </w:pPr>
            <w:r w:rsidRPr="00BD1082">
              <w:rPr>
                <w:sz w:val="20"/>
                <w:szCs w:val="20"/>
              </w:rPr>
              <w:t>Equilibrar reactivos y muestras a temperatura ambiente</w:t>
            </w:r>
          </w:p>
          <w:p w14:paraId="30771F63" w14:textId="77777777" w:rsidR="00BD1082" w:rsidRPr="00BD1082" w:rsidRDefault="00BD1082" w:rsidP="00BD1082">
            <w:pPr>
              <w:pStyle w:val="Prrafodelista"/>
              <w:widowControl/>
              <w:numPr>
                <w:ilvl w:val="0"/>
                <w:numId w:val="48"/>
              </w:numPr>
              <w:autoSpaceDE/>
              <w:autoSpaceDN/>
              <w:spacing w:before="120"/>
              <w:ind w:left="720"/>
              <w:contextualSpacing/>
              <w:jc w:val="both"/>
              <w:rPr>
                <w:sz w:val="20"/>
                <w:szCs w:val="20"/>
              </w:rPr>
            </w:pPr>
            <w:r w:rsidRPr="00BD1082">
              <w:rPr>
                <w:sz w:val="20"/>
                <w:szCs w:val="20"/>
              </w:rPr>
              <w:t>Pipetear en los tubos rotulados:</w:t>
            </w:r>
          </w:p>
          <w:p w14:paraId="64FBEA43" w14:textId="77777777" w:rsidR="00BD1082" w:rsidRPr="00BD1082" w:rsidRDefault="00BD1082" w:rsidP="00BD1082">
            <w:pPr>
              <w:pStyle w:val="Prrafodelista"/>
              <w:widowControl/>
              <w:numPr>
                <w:ilvl w:val="0"/>
                <w:numId w:val="48"/>
              </w:numPr>
              <w:autoSpaceDE/>
              <w:autoSpaceDN/>
              <w:spacing w:before="120"/>
              <w:ind w:left="720"/>
              <w:contextualSpacing/>
              <w:jc w:val="both"/>
              <w:rPr>
                <w:sz w:val="20"/>
                <w:szCs w:val="20"/>
              </w:rPr>
            </w:pPr>
            <w:r w:rsidRPr="00BD1082">
              <w:rPr>
                <w:sz w:val="20"/>
                <w:szCs w:val="20"/>
              </w:rPr>
              <w:t>Para triglicéridos y colesterol total seguir el siguiente esquema:</w:t>
            </w:r>
          </w:p>
          <w:p w14:paraId="2F56E941" w14:textId="77777777" w:rsidR="00BD1082" w:rsidRPr="00BD1082" w:rsidRDefault="00BD1082" w:rsidP="00BD1082">
            <w:pPr>
              <w:pStyle w:val="Prrafodelista"/>
              <w:spacing w:before="12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429"/>
              <w:gridCol w:w="2729"/>
              <w:gridCol w:w="2318"/>
            </w:tblGrid>
            <w:tr w:rsidR="00BD1082" w:rsidRPr="00BD1082" w14:paraId="3B806CA0" w14:textId="77777777" w:rsidTr="00BD1082">
              <w:trPr>
                <w:jc w:val="center"/>
              </w:trPr>
              <w:tc>
                <w:tcPr>
                  <w:tcW w:w="0" w:type="auto"/>
                </w:tcPr>
                <w:p w14:paraId="343F1F15" w14:textId="77777777" w:rsidR="00BD1082" w:rsidRPr="00BD1082" w:rsidRDefault="00BD1082" w:rsidP="00BD1082">
                  <w:pPr>
                    <w:spacing w:before="120"/>
                    <w:ind w:left="357"/>
                    <w:jc w:val="center"/>
                    <w:rPr>
                      <w:b/>
                      <w:sz w:val="20"/>
                      <w:szCs w:val="20"/>
                    </w:rPr>
                  </w:pPr>
                  <w:r w:rsidRPr="00BD1082">
                    <w:rPr>
                      <w:b/>
                      <w:sz w:val="20"/>
                      <w:szCs w:val="20"/>
                    </w:rPr>
                    <w:t>TUBOS</w:t>
                  </w:r>
                </w:p>
              </w:tc>
              <w:tc>
                <w:tcPr>
                  <w:tcW w:w="0" w:type="auto"/>
                </w:tcPr>
                <w:p w14:paraId="74983281" w14:textId="77777777" w:rsidR="00BD1082" w:rsidRPr="00BD1082" w:rsidRDefault="00BD1082" w:rsidP="00BD1082">
                  <w:pPr>
                    <w:spacing w:before="120"/>
                    <w:ind w:left="357"/>
                    <w:jc w:val="center"/>
                    <w:rPr>
                      <w:b/>
                      <w:sz w:val="20"/>
                      <w:szCs w:val="20"/>
                    </w:rPr>
                  </w:pPr>
                  <w:r w:rsidRPr="00BD1082">
                    <w:rPr>
                      <w:b/>
                      <w:sz w:val="20"/>
                      <w:szCs w:val="20"/>
                    </w:rPr>
                    <w:t>BLANCO</w:t>
                  </w:r>
                </w:p>
              </w:tc>
              <w:tc>
                <w:tcPr>
                  <w:tcW w:w="0" w:type="auto"/>
                </w:tcPr>
                <w:p w14:paraId="0DD682D1" w14:textId="77777777" w:rsidR="00BD1082" w:rsidRPr="00BD1082" w:rsidRDefault="00BD1082" w:rsidP="00BD1082">
                  <w:pPr>
                    <w:spacing w:before="120"/>
                    <w:ind w:left="357"/>
                    <w:jc w:val="center"/>
                    <w:rPr>
                      <w:b/>
                      <w:sz w:val="20"/>
                      <w:szCs w:val="20"/>
                    </w:rPr>
                  </w:pPr>
                  <w:r w:rsidRPr="00BD1082">
                    <w:rPr>
                      <w:b/>
                      <w:sz w:val="20"/>
                      <w:szCs w:val="20"/>
                    </w:rPr>
                    <w:t>PATRON (STANDARD)</w:t>
                  </w:r>
                </w:p>
              </w:tc>
              <w:tc>
                <w:tcPr>
                  <w:tcW w:w="0" w:type="auto"/>
                </w:tcPr>
                <w:p w14:paraId="79653A74" w14:textId="77777777" w:rsidR="00BD1082" w:rsidRPr="00BD1082" w:rsidRDefault="00BD1082" w:rsidP="00BD1082">
                  <w:pPr>
                    <w:spacing w:before="120"/>
                    <w:ind w:left="357"/>
                    <w:jc w:val="center"/>
                    <w:rPr>
                      <w:b/>
                      <w:sz w:val="20"/>
                      <w:szCs w:val="20"/>
                    </w:rPr>
                  </w:pPr>
                  <w:r w:rsidRPr="00BD1082">
                    <w:rPr>
                      <w:b/>
                      <w:sz w:val="20"/>
                      <w:szCs w:val="20"/>
                    </w:rPr>
                    <w:t>MUESTRA (Suero)</w:t>
                  </w:r>
                </w:p>
              </w:tc>
            </w:tr>
            <w:tr w:rsidR="00BD1082" w:rsidRPr="00BD1082" w14:paraId="13635F1D" w14:textId="77777777" w:rsidTr="00BD1082">
              <w:trPr>
                <w:jc w:val="center"/>
              </w:trPr>
              <w:tc>
                <w:tcPr>
                  <w:tcW w:w="0" w:type="auto"/>
                </w:tcPr>
                <w:p w14:paraId="48D412F6" w14:textId="77777777" w:rsidR="00BD1082" w:rsidRPr="00BD1082" w:rsidRDefault="00BD1082" w:rsidP="00BD1082">
                  <w:pPr>
                    <w:spacing w:before="120"/>
                    <w:jc w:val="both"/>
                    <w:rPr>
                      <w:sz w:val="20"/>
                      <w:szCs w:val="20"/>
                    </w:rPr>
                  </w:pPr>
                  <w:r w:rsidRPr="00BD1082">
                    <w:rPr>
                      <w:sz w:val="20"/>
                      <w:szCs w:val="20"/>
                    </w:rPr>
                    <w:t xml:space="preserve">Reactivo </w:t>
                  </w:r>
                </w:p>
              </w:tc>
              <w:tc>
                <w:tcPr>
                  <w:tcW w:w="0" w:type="auto"/>
                </w:tcPr>
                <w:p w14:paraId="0AE8433C" w14:textId="77777777" w:rsidR="00BD1082" w:rsidRPr="00BD1082" w:rsidRDefault="00BD1082" w:rsidP="00BD1082">
                  <w:pPr>
                    <w:spacing w:before="120"/>
                    <w:ind w:left="357"/>
                    <w:jc w:val="center"/>
                    <w:rPr>
                      <w:sz w:val="20"/>
                      <w:szCs w:val="20"/>
                    </w:rPr>
                  </w:pPr>
                  <w:r w:rsidRPr="00BD1082">
                    <w:rPr>
                      <w:sz w:val="20"/>
                      <w:szCs w:val="20"/>
                    </w:rPr>
                    <w:t>1mL</w:t>
                  </w:r>
                </w:p>
              </w:tc>
              <w:tc>
                <w:tcPr>
                  <w:tcW w:w="0" w:type="auto"/>
                </w:tcPr>
                <w:p w14:paraId="0B67FC70" w14:textId="77777777" w:rsidR="00BD1082" w:rsidRPr="00BD1082" w:rsidRDefault="00BD1082" w:rsidP="00BD1082">
                  <w:pPr>
                    <w:spacing w:before="120"/>
                    <w:ind w:left="357"/>
                    <w:jc w:val="center"/>
                    <w:rPr>
                      <w:sz w:val="20"/>
                      <w:szCs w:val="20"/>
                    </w:rPr>
                  </w:pPr>
                  <w:r w:rsidRPr="00BD1082">
                    <w:rPr>
                      <w:sz w:val="20"/>
                      <w:szCs w:val="20"/>
                    </w:rPr>
                    <w:t>1mL</w:t>
                  </w:r>
                </w:p>
              </w:tc>
              <w:tc>
                <w:tcPr>
                  <w:tcW w:w="0" w:type="auto"/>
                </w:tcPr>
                <w:p w14:paraId="2F4C0B89" w14:textId="77777777" w:rsidR="00BD1082" w:rsidRPr="00BD1082" w:rsidRDefault="00BD1082" w:rsidP="00BD1082">
                  <w:pPr>
                    <w:spacing w:before="120"/>
                    <w:ind w:left="357"/>
                    <w:jc w:val="center"/>
                    <w:rPr>
                      <w:sz w:val="20"/>
                      <w:szCs w:val="20"/>
                    </w:rPr>
                  </w:pPr>
                  <w:r w:rsidRPr="00BD1082">
                    <w:rPr>
                      <w:sz w:val="20"/>
                      <w:szCs w:val="20"/>
                    </w:rPr>
                    <w:t>1mL</w:t>
                  </w:r>
                </w:p>
              </w:tc>
            </w:tr>
            <w:tr w:rsidR="00BD1082" w:rsidRPr="00BD1082" w14:paraId="6959BB4C" w14:textId="77777777" w:rsidTr="00BD1082">
              <w:trPr>
                <w:jc w:val="center"/>
              </w:trPr>
              <w:tc>
                <w:tcPr>
                  <w:tcW w:w="0" w:type="auto"/>
                </w:tcPr>
                <w:p w14:paraId="664494EE" w14:textId="77777777" w:rsidR="00BD1082" w:rsidRPr="00BD1082" w:rsidRDefault="00BD1082" w:rsidP="00BD1082">
                  <w:pPr>
                    <w:spacing w:before="120"/>
                    <w:jc w:val="both"/>
                    <w:rPr>
                      <w:sz w:val="20"/>
                      <w:szCs w:val="20"/>
                    </w:rPr>
                  </w:pPr>
                  <w:r w:rsidRPr="00BD1082">
                    <w:rPr>
                      <w:sz w:val="20"/>
                      <w:szCs w:val="20"/>
                    </w:rPr>
                    <w:t xml:space="preserve">Standard </w:t>
                  </w:r>
                </w:p>
              </w:tc>
              <w:tc>
                <w:tcPr>
                  <w:tcW w:w="0" w:type="auto"/>
                </w:tcPr>
                <w:p w14:paraId="70124D8B" w14:textId="77777777" w:rsidR="00BD1082" w:rsidRPr="00BD1082" w:rsidRDefault="00BD1082" w:rsidP="00BD1082">
                  <w:pPr>
                    <w:spacing w:before="120"/>
                    <w:ind w:left="357"/>
                    <w:jc w:val="center"/>
                    <w:rPr>
                      <w:sz w:val="20"/>
                      <w:szCs w:val="20"/>
                    </w:rPr>
                  </w:pPr>
                  <w:r w:rsidRPr="00BD1082">
                    <w:rPr>
                      <w:sz w:val="20"/>
                      <w:szCs w:val="20"/>
                    </w:rPr>
                    <w:t>-</w:t>
                  </w:r>
                </w:p>
              </w:tc>
              <w:tc>
                <w:tcPr>
                  <w:tcW w:w="0" w:type="auto"/>
                </w:tcPr>
                <w:p w14:paraId="0935BA98" w14:textId="77777777" w:rsidR="00BD1082" w:rsidRPr="00BD1082" w:rsidRDefault="00BD1082" w:rsidP="00BD1082">
                  <w:pPr>
                    <w:spacing w:before="120"/>
                    <w:ind w:left="357"/>
                    <w:jc w:val="center"/>
                    <w:rPr>
                      <w:sz w:val="20"/>
                      <w:szCs w:val="20"/>
                    </w:rPr>
                  </w:pPr>
                  <w:r w:rsidRPr="00BD1082">
                    <w:rPr>
                      <w:sz w:val="20"/>
                      <w:szCs w:val="20"/>
                    </w:rPr>
                    <w:t>10µL</w:t>
                  </w:r>
                </w:p>
              </w:tc>
              <w:tc>
                <w:tcPr>
                  <w:tcW w:w="0" w:type="auto"/>
                </w:tcPr>
                <w:p w14:paraId="6D441EAD" w14:textId="77777777" w:rsidR="00BD1082" w:rsidRPr="00BD1082" w:rsidRDefault="00BD1082" w:rsidP="00BD1082">
                  <w:pPr>
                    <w:spacing w:before="120"/>
                    <w:ind w:left="357"/>
                    <w:jc w:val="center"/>
                    <w:rPr>
                      <w:sz w:val="20"/>
                      <w:szCs w:val="20"/>
                    </w:rPr>
                  </w:pPr>
                  <w:r w:rsidRPr="00BD1082">
                    <w:rPr>
                      <w:sz w:val="20"/>
                      <w:szCs w:val="20"/>
                    </w:rPr>
                    <w:t>-</w:t>
                  </w:r>
                </w:p>
              </w:tc>
            </w:tr>
            <w:tr w:rsidR="00BD1082" w:rsidRPr="00BD1082" w14:paraId="02F8B971" w14:textId="77777777" w:rsidTr="00BD1082">
              <w:trPr>
                <w:jc w:val="center"/>
              </w:trPr>
              <w:tc>
                <w:tcPr>
                  <w:tcW w:w="0" w:type="auto"/>
                </w:tcPr>
                <w:p w14:paraId="3273348B" w14:textId="4567504A" w:rsidR="00BD1082" w:rsidRPr="00BD1082" w:rsidRDefault="00BD1082" w:rsidP="00BD1082">
                  <w:pPr>
                    <w:spacing w:before="120"/>
                    <w:jc w:val="both"/>
                    <w:rPr>
                      <w:sz w:val="20"/>
                      <w:szCs w:val="20"/>
                    </w:rPr>
                  </w:pPr>
                  <w:r w:rsidRPr="00BD1082">
                    <w:rPr>
                      <w:sz w:val="20"/>
                      <w:szCs w:val="20"/>
                    </w:rPr>
                    <w:t>Muestra</w:t>
                  </w:r>
                  <w:r>
                    <w:rPr>
                      <w:sz w:val="20"/>
                      <w:szCs w:val="20"/>
                    </w:rPr>
                    <w:t xml:space="preserve"> </w:t>
                  </w:r>
                  <w:r w:rsidRPr="00BD1082">
                    <w:rPr>
                      <w:sz w:val="20"/>
                      <w:szCs w:val="20"/>
                    </w:rPr>
                    <w:t>(Suero)</w:t>
                  </w:r>
                </w:p>
              </w:tc>
              <w:tc>
                <w:tcPr>
                  <w:tcW w:w="0" w:type="auto"/>
                </w:tcPr>
                <w:p w14:paraId="08B37B7C" w14:textId="77777777" w:rsidR="00BD1082" w:rsidRPr="00BD1082" w:rsidRDefault="00BD1082" w:rsidP="00BD1082">
                  <w:pPr>
                    <w:spacing w:before="120"/>
                    <w:ind w:left="357"/>
                    <w:jc w:val="center"/>
                    <w:rPr>
                      <w:sz w:val="20"/>
                      <w:szCs w:val="20"/>
                    </w:rPr>
                  </w:pPr>
                  <w:r w:rsidRPr="00BD1082">
                    <w:rPr>
                      <w:sz w:val="20"/>
                      <w:szCs w:val="20"/>
                    </w:rPr>
                    <w:t>-</w:t>
                  </w:r>
                </w:p>
              </w:tc>
              <w:tc>
                <w:tcPr>
                  <w:tcW w:w="0" w:type="auto"/>
                </w:tcPr>
                <w:p w14:paraId="6895065B" w14:textId="77777777" w:rsidR="00BD1082" w:rsidRPr="00BD1082" w:rsidRDefault="00BD1082" w:rsidP="00BD1082">
                  <w:pPr>
                    <w:spacing w:before="120"/>
                    <w:ind w:left="357"/>
                    <w:jc w:val="center"/>
                    <w:rPr>
                      <w:sz w:val="20"/>
                      <w:szCs w:val="20"/>
                    </w:rPr>
                  </w:pPr>
                  <w:r w:rsidRPr="00BD1082">
                    <w:rPr>
                      <w:sz w:val="20"/>
                      <w:szCs w:val="20"/>
                    </w:rPr>
                    <w:t>-</w:t>
                  </w:r>
                </w:p>
              </w:tc>
              <w:tc>
                <w:tcPr>
                  <w:tcW w:w="0" w:type="auto"/>
                </w:tcPr>
                <w:p w14:paraId="3821C7BF" w14:textId="77777777" w:rsidR="00BD1082" w:rsidRPr="00BD1082" w:rsidRDefault="00BD1082" w:rsidP="00BD1082">
                  <w:pPr>
                    <w:spacing w:before="120"/>
                    <w:ind w:left="357"/>
                    <w:jc w:val="center"/>
                    <w:rPr>
                      <w:sz w:val="20"/>
                      <w:szCs w:val="20"/>
                    </w:rPr>
                  </w:pPr>
                  <w:r w:rsidRPr="00BD1082">
                    <w:rPr>
                      <w:sz w:val="20"/>
                      <w:szCs w:val="20"/>
                    </w:rPr>
                    <w:t>10µL</w:t>
                  </w:r>
                </w:p>
              </w:tc>
            </w:tr>
          </w:tbl>
          <w:p w14:paraId="1AEEC95E" w14:textId="77777777" w:rsidR="00BD1082" w:rsidRPr="00BD1082" w:rsidRDefault="00BD1082" w:rsidP="00BD1082">
            <w:pPr>
              <w:pStyle w:val="Prrafodelista"/>
              <w:widowControl/>
              <w:numPr>
                <w:ilvl w:val="0"/>
                <w:numId w:val="49"/>
              </w:numPr>
              <w:autoSpaceDE/>
              <w:autoSpaceDN/>
              <w:spacing w:before="120"/>
              <w:contextualSpacing/>
              <w:jc w:val="both"/>
              <w:rPr>
                <w:sz w:val="20"/>
                <w:szCs w:val="20"/>
              </w:rPr>
            </w:pPr>
            <w:r w:rsidRPr="00BD1082">
              <w:rPr>
                <w:sz w:val="20"/>
                <w:szCs w:val="20"/>
              </w:rPr>
              <w:t xml:space="preserve">Mezclar y reposar los tubos 10 minutos a temperatura ambiente </w:t>
            </w:r>
            <w:proofErr w:type="spellStart"/>
            <w:r w:rsidRPr="00BD1082">
              <w:rPr>
                <w:sz w:val="20"/>
                <w:szCs w:val="20"/>
              </w:rPr>
              <w:t>ó</w:t>
            </w:r>
            <w:proofErr w:type="spellEnd"/>
            <w:r w:rsidRPr="00BD1082">
              <w:rPr>
                <w:sz w:val="20"/>
                <w:szCs w:val="20"/>
              </w:rPr>
              <w:t xml:space="preserve"> cinco minutos a 37ºC. (Si trabaja </w:t>
            </w:r>
            <w:r w:rsidRPr="00BD1082">
              <w:rPr>
                <w:b/>
                <w:i/>
                <w:sz w:val="20"/>
                <w:szCs w:val="20"/>
              </w:rPr>
              <w:t>triglicéridos a temperatura ambiente</w:t>
            </w:r>
            <w:r w:rsidRPr="00BD1082">
              <w:rPr>
                <w:sz w:val="20"/>
                <w:szCs w:val="20"/>
              </w:rPr>
              <w:t xml:space="preserve"> dejar reposar por 15 minutos).</w:t>
            </w:r>
          </w:p>
          <w:p w14:paraId="55AFE029" w14:textId="77777777" w:rsidR="00BD1082" w:rsidRPr="00BD1082" w:rsidRDefault="00BD1082" w:rsidP="00BD1082">
            <w:pPr>
              <w:pStyle w:val="Prrafodelista"/>
              <w:widowControl/>
              <w:numPr>
                <w:ilvl w:val="0"/>
                <w:numId w:val="49"/>
              </w:numPr>
              <w:autoSpaceDE/>
              <w:autoSpaceDN/>
              <w:spacing w:before="120"/>
              <w:contextualSpacing/>
              <w:jc w:val="both"/>
              <w:rPr>
                <w:sz w:val="20"/>
                <w:szCs w:val="20"/>
              </w:rPr>
            </w:pPr>
            <w:r w:rsidRPr="00BD1082">
              <w:rPr>
                <w:sz w:val="20"/>
                <w:szCs w:val="20"/>
              </w:rPr>
              <w:t>Leer la absorbancia (A) del patrón (standard) y de la muestra frente al blanco del reactivo. El color es estable: triglicéridos (1 hora) y colesterol total (30 minutos) protegidos de la luz.</w:t>
            </w:r>
          </w:p>
          <w:p w14:paraId="57375A89" w14:textId="1ACA42A7" w:rsidR="00BD1082" w:rsidRPr="00BD1082" w:rsidRDefault="00BD1082" w:rsidP="00BD1082">
            <w:pPr>
              <w:pStyle w:val="Prrafodelista"/>
              <w:widowControl/>
              <w:numPr>
                <w:ilvl w:val="0"/>
                <w:numId w:val="49"/>
              </w:numPr>
              <w:autoSpaceDE/>
              <w:autoSpaceDN/>
              <w:spacing w:before="120"/>
              <w:contextualSpacing/>
              <w:jc w:val="both"/>
              <w:rPr>
                <w:sz w:val="20"/>
                <w:szCs w:val="20"/>
              </w:rPr>
            </w:pPr>
            <w:r w:rsidRPr="00BD1082">
              <w:rPr>
                <w:sz w:val="20"/>
                <w:szCs w:val="20"/>
              </w:rPr>
              <w:t>Calcular la concentración de triglicéridos y colesterol total en mg/</w:t>
            </w:r>
            <w:proofErr w:type="spellStart"/>
            <w:r w:rsidRPr="00BD1082">
              <w:rPr>
                <w:sz w:val="20"/>
                <w:szCs w:val="20"/>
              </w:rPr>
              <w:t>dL</w:t>
            </w:r>
            <w:proofErr w:type="spellEnd"/>
            <w:r w:rsidRPr="00BD1082">
              <w:rPr>
                <w:sz w:val="20"/>
                <w:szCs w:val="20"/>
              </w:rPr>
              <w:t>, Para expresar los resultados en unidades SI aplicar: triglicéridos mg/</w:t>
            </w:r>
            <w:proofErr w:type="spellStart"/>
            <w:r w:rsidRPr="00BD1082">
              <w:rPr>
                <w:sz w:val="20"/>
                <w:szCs w:val="20"/>
              </w:rPr>
              <w:t>dL</w:t>
            </w:r>
            <w:proofErr w:type="spellEnd"/>
            <w:r w:rsidRPr="00BD1082">
              <w:rPr>
                <w:sz w:val="20"/>
                <w:szCs w:val="20"/>
              </w:rPr>
              <w:t>*0</w:t>
            </w:r>
            <w:r>
              <w:rPr>
                <w:sz w:val="20"/>
                <w:szCs w:val="20"/>
              </w:rPr>
              <w:t>,</w:t>
            </w:r>
            <w:r w:rsidRPr="00BD1082">
              <w:rPr>
                <w:sz w:val="20"/>
                <w:szCs w:val="20"/>
              </w:rPr>
              <w:t xml:space="preserve">0113=mmol/L </w:t>
            </w:r>
          </w:p>
          <w:p w14:paraId="01992B37" w14:textId="77777777" w:rsidR="00BD1082" w:rsidRPr="00BD1082" w:rsidRDefault="00BD1082" w:rsidP="00BD1082">
            <w:pPr>
              <w:pStyle w:val="Prrafodelista"/>
              <w:widowControl/>
              <w:numPr>
                <w:ilvl w:val="0"/>
                <w:numId w:val="49"/>
              </w:numPr>
              <w:autoSpaceDE/>
              <w:autoSpaceDN/>
              <w:spacing w:before="120"/>
              <w:contextualSpacing/>
              <w:jc w:val="both"/>
              <w:rPr>
                <w:sz w:val="20"/>
                <w:szCs w:val="20"/>
              </w:rPr>
            </w:pPr>
            <w:r w:rsidRPr="00BD1082">
              <w:rPr>
                <w:sz w:val="20"/>
                <w:szCs w:val="20"/>
              </w:rPr>
              <w:t>Muestras con concentraciones superiores a 800mg/</w:t>
            </w:r>
            <w:proofErr w:type="spellStart"/>
            <w:r w:rsidRPr="00BD1082">
              <w:rPr>
                <w:sz w:val="20"/>
                <w:szCs w:val="20"/>
              </w:rPr>
              <w:t>dL</w:t>
            </w:r>
            <w:proofErr w:type="spellEnd"/>
            <w:r w:rsidRPr="00BD1082">
              <w:rPr>
                <w:sz w:val="20"/>
                <w:szCs w:val="20"/>
              </w:rPr>
              <w:t xml:space="preserve"> en triglicéridos deben diluirse 1:2 con solución salina y repetir el ensayo. Multiplicar los resultados por 2.</w:t>
            </w:r>
          </w:p>
          <w:p w14:paraId="6C1B909B" w14:textId="77777777" w:rsidR="00BD1082" w:rsidRPr="00BD1082" w:rsidRDefault="00BD1082" w:rsidP="00BD1082">
            <w:pPr>
              <w:pStyle w:val="Prrafodelista"/>
              <w:widowControl/>
              <w:numPr>
                <w:ilvl w:val="0"/>
                <w:numId w:val="49"/>
              </w:numPr>
              <w:autoSpaceDE/>
              <w:autoSpaceDN/>
              <w:spacing w:before="120"/>
              <w:contextualSpacing/>
              <w:jc w:val="both"/>
              <w:rPr>
                <w:sz w:val="20"/>
                <w:szCs w:val="20"/>
              </w:rPr>
            </w:pPr>
            <w:r w:rsidRPr="00BD1082">
              <w:rPr>
                <w:sz w:val="20"/>
                <w:szCs w:val="20"/>
              </w:rPr>
              <w:t>Límite de detección=0.74mg/</w:t>
            </w:r>
            <w:proofErr w:type="spellStart"/>
            <w:r w:rsidRPr="00BD1082">
              <w:rPr>
                <w:sz w:val="20"/>
                <w:szCs w:val="20"/>
              </w:rPr>
              <w:t>dL</w:t>
            </w:r>
            <w:proofErr w:type="spellEnd"/>
            <w:r w:rsidRPr="00BD1082">
              <w:rPr>
                <w:sz w:val="20"/>
                <w:szCs w:val="20"/>
              </w:rPr>
              <w:t xml:space="preserve"> en triglicéridos. </w:t>
            </w:r>
          </w:p>
          <w:p w14:paraId="0D304C59" w14:textId="77777777" w:rsidR="00BD1082" w:rsidRDefault="00BD1082" w:rsidP="00BD1082">
            <w:pPr>
              <w:pStyle w:val="Prrafodelista"/>
              <w:widowControl/>
              <w:numPr>
                <w:ilvl w:val="0"/>
                <w:numId w:val="49"/>
              </w:numPr>
              <w:autoSpaceDE/>
              <w:autoSpaceDN/>
              <w:spacing w:before="60"/>
              <w:contextualSpacing/>
              <w:jc w:val="both"/>
              <w:rPr>
                <w:sz w:val="20"/>
                <w:szCs w:val="20"/>
              </w:rPr>
            </w:pPr>
            <w:r w:rsidRPr="00BD1082">
              <w:rPr>
                <w:sz w:val="20"/>
                <w:szCs w:val="20"/>
              </w:rPr>
              <w:t>Linealidad= Hasta 800mg/</w:t>
            </w:r>
            <w:proofErr w:type="spellStart"/>
            <w:r w:rsidRPr="00BD1082">
              <w:rPr>
                <w:sz w:val="20"/>
                <w:szCs w:val="20"/>
              </w:rPr>
              <w:t>dL</w:t>
            </w:r>
            <w:proofErr w:type="spellEnd"/>
            <w:r w:rsidRPr="00BD1082">
              <w:rPr>
                <w:sz w:val="20"/>
                <w:szCs w:val="20"/>
              </w:rPr>
              <w:t xml:space="preserve"> en triglicéridos.</w:t>
            </w:r>
          </w:p>
          <w:p w14:paraId="4A704B37" w14:textId="77777777" w:rsidR="00BD1082" w:rsidRPr="00BD1082" w:rsidRDefault="00BD1082" w:rsidP="00BD1082">
            <w:pPr>
              <w:ind w:right="-284"/>
              <w:jc w:val="both"/>
              <w:rPr>
                <w:rFonts w:eastAsia="Times New Roman"/>
                <w:sz w:val="20"/>
                <w:szCs w:val="20"/>
              </w:rPr>
            </w:pPr>
            <w:r w:rsidRPr="00BD1082">
              <w:rPr>
                <w:rFonts w:eastAsia="Times New Roman"/>
                <w:b/>
                <w:sz w:val="20"/>
                <w:szCs w:val="20"/>
              </w:rPr>
              <w:t>CALCULOS:</w:t>
            </w:r>
            <w:r w:rsidRPr="00BD1082">
              <w:rPr>
                <w:rFonts w:eastAsia="Times New Roman"/>
                <w:sz w:val="20"/>
                <w:szCs w:val="20"/>
              </w:rPr>
              <w:t xml:space="preserve"> </w:t>
            </w:r>
          </w:p>
          <w:p w14:paraId="510246DC" w14:textId="77777777" w:rsidR="00BD1082" w:rsidRPr="00BD1082" w:rsidRDefault="00BD1082" w:rsidP="00BD1082">
            <w:pPr>
              <w:ind w:right="-284"/>
              <w:jc w:val="both"/>
              <w:rPr>
                <w:rFonts w:eastAsia="Times New Roman"/>
                <w:sz w:val="20"/>
                <w:szCs w:val="20"/>
              </w:rPr>
            </w:pPr>
            <m:oMathPara>
              <m:oMathParaPr>
                <m:jc m:val="left"/>
              </m:oMathParaPr>
              <m:oMath>
                <m:r>
                  <m:rPr>
                    <m:sty m:val="bi"/>
                  </m:rPr>
                  <w:rPr>
                    <w:rFonts w:ascii="Cambria Math" w:hAnsi="Cambria Math"/>
                    <w:sz w:val="20"/>
                    <w:szCs w:val="20"/>
                  </w:rPr>
                  <m:t xml:space="preserve">Concentración trigliceridos mg/dL </m:t>
                </m:r>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A muestra</m:t>
                    </m:r>
                  </m:num>
                  <m:den>
                    <m:r>
                      <m:rPr>
                        <m:sty m:val="p"/>
                      </m:rPr>
                      <w:rPr>
                        <w:rFonts w:ascii="Cambria Math" w:hAnsi="Cambria Math"/>
                        <w:sz w:val="20"/>
                        <w:szCs w:val="20"/>
                      </w:rPr>
                      <m:t>A Standard</m:t>
                    </m:r>
                  </m:den>
                </m:f>
                <m:r>
                  <m:rPr>
                    <m:sty m:val="p"/>
                  </m:rPr>
                  <w:rPr>
                    <w:rFonts w:ascii="Cambria Math" w:hAnsi="Cambria Math"/>
                    <w:sz w:val="20"/>
                    <w:szCs w:val="20"/>
                  </w:rPr>
                  <m:t>x</m:t>
                </m:r>
                <m:r>
                  <m:rPr>
                    <m:sty m:val="b"/>
                  </m:rPr>
                  <w:rPr>
                    <w:rFonts w:ascii="Cambria Math" w:hAnsi="Cambria Math"/>
                    <w:sz w:val="20"/>
                    <w:szCs w:val="20"/>
                  </w:rPr>
                  <m:t>C</m:t>
                </m:r>
                <m:r>
                  <m:rPr>
                    <m:sty m:val="p"/>
                  </m:rPr>
                  <w:rPr>
                    <w:rFonts w:ascii="Cambria Math" w:hAnsi="Cambria Math"/>
                    <w:sz w:val="20"/>
                    <w:szCs w:val="20"/>
                  </w:rPr>
                  <m:t xml:space="preserve"> Standard</m:t>
                </m:r>
              </m:oMath>
            </m:oMathPara>
          </w:p>
          <w:p w14:paraId="5F654381" w14:textId="77777777" w:rsidR="00BD1082" w:rsidRPr="00BD1082" w:rsidRDefault="00BD1082" w:rsidP="00BD1082">
            <w:pPr>
              <w:pStyle w:val="Prrafodelista"/>
              <w:ind w:firstLine="360"/>
              <w:jc w:val="both"/>
              <w:rPr>
                <w:rFonts w:eastAsia="Times New Roman"/>
                <w:b/>
                <w:sz w:val="20"/>
                <w:szCs w:val="20"/>
              </w:rPr>
            </w:pPr>
            <w:proofErr w:type="spellStart"/>
            <w:r w:rsidRPr="00BD1082">
              <w:rPr>
                <w:rFonts w:eastAsia="Times New Roman"/>
                <w:b/>
                <w:sz w:val="20"/>
                <w:szCs w:val="20"/>
              </w:rPr>
              <w:t>ó</w:t>
            </w:r>
            <w:proofErr w:type="spellEnd"/>
            <w:r w:rsidRPr="00BD1082">
              <w:rPr>
                <w:rFonts w:eastAsia="Times New Roman"/>
                <w:b/>
                <w:sz w:val="20"/>
                <w:szCs w:val="20"/>
              </w:rPr>
              <w:t xml:space="preserve"> con:</w:t>
            </w:r>
          </w:p>
          <w:p w14:paraId="4ADBA70C" w14:textId="77777777" w:rsidR="00BD1082" w:rsidRPr="00BD1082" w:rsidRDefault="00BD1082" w:rsidP="00BD1082">
            <w:pPr>
              <w:pStyle w:val="Prrafodelista"/>
              <w:ind w:left="360"/>
              <w:jc w:val="both"/>
              <w:rPr>
                <w:rFonts w:eastAsia="Times New Roman"/>
                <w:sz w:val="20"/>
                <w:szCs w:val="20"/>
              </w:rPr>
            </w:pPr>
            <m:oMathPara>
              <m:oMathParaPr>
                <m:jc m:val="left"/>
              </m:oMathParaPr>
              <m:oMath>
                <m:r>
                  <m:rPr>
                    <m:sty m:val="bi"/>
                  </m:rPr>
                  <w:rPr>
                    <w:rFonts w:ascii="Cambria Math" w:hAnsi="Cambria Math"/>
                    <w:sz w:val="20"/>
                    <w:szCs w:val="20"/>
                  </w:rPr>
                  <m:t xml:space="preserve">Factor </m:t>
                </m:r>
                <m:r>
                  <m:rPr>
                    <m:sty m:val="p"/>
                  </m:rPr>
                  <w:rPr>
                    <w:rFonts w:ascii="Cambria Math" w:hAnsi="Cambria Math"/>
                    <w:sz w:val="20"/>
                    <w:szCs w:val="20"/>
                  </w:rPr>
                  <m:t>=</m:t>
                </m:r>
                <m:f>
                  <m:fPr>
                    <m:ctrlPr>
                      <w:rPr>
                        <w:rFonts w:ascii="Cambria Math" w:hAnsi="Cambria Math"/>
                        <w:sz w:val="20"/>
                        <w:szCs w:val="20"/>
                      </w:rPr>
                    </m:ctrlPr>
                  </m:fPr>
                  <m:num>
                    <m:r>
                      <m:rPr>
                        <m:sty m:val="b"/>
                      </m:rPr>
                      <w:rPr>
                        <w:rFonts w:ascii="Cambria Math" w:hAnsi="Cambria Math"/>
                        <w:sz w:val="20"/>
                        <w:szCs w:val="20"/>
                      </w:rPr>
                      <m:t>C</m:t>
                    </m:r>
                    <m:r>
                      <m:rPr>
                        <m:sty m:val="p"/>
                      </m:rPr>
                      <w:rPr>
                        <w:rFonts w:ascii="Cambria Math" w:hAnsi="Cambria Math"/>
                        <w:sz w:val="20"/>
                        <w:szCs w:val="20"/>
                      </w:rPr>
                      <m:t xml:space="preserve"> Standard</m:t>
                    </m:r>
                  </m:num>
                  <m:den>
                    <m:r>
                      <m:rPr>
                        <m:sty m:val="b"/>
                      </m:rPr>
                      <w:rPr>
                        <w:rFonts w:ascii="Cambria Math" w:hAnsi="Cambria Math"/>
                        <w:sz w:val="20"/>
                        <w:szCs w:val="20"/>
                      </w:rPr>
                      <m:t>A</m:t>
                    </m:r>
                    <m:r>
                      <m:rPr>
                        <m:sty m:val="p"/>
                      </m:rPr>
                      <w:rPr>
                        <w:rFonts w:ascii="Cambria Math" w:hAnsi="Cambria Math"/>
                        <w:sz w:val="20"/>
                        <w:szCs w:val="20"/>
                      </w:rPr>
                      <m:t xml:space="preserve"> Standard</m:t>
                    </m:r>
                  </m:den>
                </m:f>
              </m:oMath>
            </m:oMathPara>
          </w:p>
          <w:p w14:paraId="67A44283" w14:textId="77777777" w:rsidR="00BD1082" w:rsidRPr="00BD1082" w:rsidRDefault="00BD1082" w:rsidP="00BD1082">
            <w:pPr>
              <w:pStyle w:val="Prrafodelista"/>
              <w:ind w:left="360"/>
              <w:jc w:val="both"/>
              <w:rPr>
                <w:rFonts w:eastAsia="Times New Roman"/>
                <w:b/>
                <w:sz w:val="20"/>
                <w:szCs w:val="20"/>
              </w:rPr>
            </w:pPr>
          </w:p>
          <w:p w14:paraId="23987C8D" w14:textId="77777777" w:rsidR="00BD1082" w:rsidRPr="00BD1082" w:rsidRDefault="00BD1082" w:rsidP="00BD1082">
            <w:pPr>
              <w:pStyle w:val="Prrafodelista"/>
              <w:ind w:left="360"/>
              <w:jc w:val="both"/>
              <w:rPr>
                <w:rFonts w:eastAsia="Times New Roman"/>
                <w:sz w:val="20"/>
                <w:szCs w:val="20"/>
              </w:rPr>
            </w:pPr>
            <m:oMathPara>
              <m:oMathParaPr>
                <m:jc m:val="left"/>
              </m:oMathParaPr>
              <m:oMath>
                <m:r>
                  <m:rPr>
                    <m:sty m:val="bi"/>
                  </m:rPr>
                  <w:rPr>
                    <w:rFonts w:ascii="Cambria Math" w:hAnsi="Cambria Math"/>
                    <w:sz w:val="20"/>
                    <w:szCs w:val="20"/>
                  </w:rPr>
                  <m:t>Concentración trigliceridos</m:t>
                </m:r>
                <m:f>
                  <m:fPr>
                    <m:ctrlPr>
                      <w:rPr>
                        <w:rFonts w:ascii="Cambria Math" w:hAnsi="Cambria Math"/>
                        <w:b/>
                        <w:i/>
                        <w:sz w:val="20"/>
                        <w:szCs w:val="20"/>
                      </w:rPr>
                    </m:ctrlPr>
                  </m:fPr>
                  <m:num>
                    <m:r>
                      <m:rPr>
                        <m:sty m:val="bi"/>
                      </m:rPr>
                      <w:rPr>
                        <w:rFonts w:ascii="Cambria Math" w:hAnsi="Cambria Math"/>
                        <w:sz w:val="20"/>
                        <w:szCs w:val="20"/>
                      </w:rPr>
                      <m:t>mg</m:t>
                    </m:r>
                  </m:num>
                  <m:den>
                    <m:r>
                      <m:rPr>
                        <m:sty m:val="bi"/>
                      </m:rPr>
                      <w:rPr>
                        <w:rFonts w:ascii="Cambria Math" w:hAnsi="Cambria Math"/>
                        <w:sz w:val="20"/>
                        <w:szCs w:val="20"/>
                      </w:rPr>
                      <m:t>dL</m:t>
                    </m:r>
                  </m:den>
                </m:f>
                <m:r>
                  <m:rPr>
                    <m:sty m:val="p"/>
                  </m:rPr>
                  <w:rPr>
                    <w:rFonts w:ascii="Cambria Math" w:hAnsi="Cambria Math"/>
                    <w:sz w:val="20"/>
                    <w:szCs w:val="20"/>
                  </w:rPr>
                  <m:t xml:space="preserve">=A muestra  x </m:t>
                </m:r>
                <m:r>
                  <m:rPr>
                    <m:sty m:val="bi"/>
                  </m:rPr>
                  <w:rPr>
                    <w:rFonts w:ascii="Cambria Math" w:hAnsi="Cambria Math"/>
                    <w:sz w:val="20"/>
                    <w:szCs w:val="20"/>
                  </w:rPr>
                  <m:t>Factor</m:t>
                </m:r>
                <m:r>
                  <m:rPr>
                    <m:sty m:val="p"/>
                  </m:rPr>
                  <w:rPr>
                    <w:rFonts w:ascii="Cambria Math" w:hAnsi="Cambria Math"/>
                    <w:sz w:val="20"/>
                    <w:szCs w:val="20"/>
                  </w:rPr>
                  <m:t xml:space="preserve"> </m:t>
                </m:r>
              </m:oMath>
            </m:oMathPara>
          </w:p>
          <w:p w14:paraId="027C0526" w14:textId="12637947" w:rsidR="00BD1082" w:rsidRPr="00BD1082" w:rsidRDefault="00BD1082" w:rsidP="00BD1082">
            <w:pPr>
              <w:widowControl/>
              <w:autoSpaceDE/>
              <w:autoSpaceDN/>
              <w:spacing w:before="60"/>
              <w:contextualSpacing/>
              <w:jc w:val="both"/>
              <w:rPr>
                <w:sz w:val="20"/>
                <w:szCs w:val="20"/>
              </w:rPr>
            </w:pPr>
          </w:p>
        </w:tc>
      </w:tr>
      <w:tr w:rsidR="00C46490" w:rsidRPr="004D5B4F" w14:paraId="4BE4041B" w14:textId="77777777" w:rsidTr="00BD1082">
        <w:trPr>
          <w:trHeight w:val="205"/>
        </w:trPr>
        <w:tc>
          <w:tcPr>
            <w:tcW w:w="9458" w:type="dxa"/>
            <w:gridSpan w:val="5"/>
            <w:shd w:val="clear" w:color="auto" w:fill="F1F1F1"/>
          </w:tcPr>
          <w:p w14:paraId="68D84535" w14:textId="77777777" w:rsidR="00C46490" w:rsidRPr="00FA41D5" w:rsidRDefault="00A13EED">
            <w:pPr>
              <w:pStyle w:val="TableParagraph"/>
              <w:spacing w:before="8"/>
              <w:rPr>
                <w:b/>
                <w:sz w:val="20"/>
                <w:szCs w:val="20"/>
              </w:rPr>
            </w:pPr>
            <w:r w:rsidRPr="00FA41D5">
              <w:rPr>
                <w:b/>
                <w:sz w:val="20"/>
                <w:szCs w:val="20"/>
              </w:rPr>
              <w:t>RESULTADO (Gráficos, cálculos, etc.)</w:t>
            </w:r>
          </w:p>
        </w:tc>
      </w:tr>
      <w:tr w:rsidR="00C46490" w:rsidRPr="004D5B4F" w14:paraId="5A02F555" w14:textId="77777777" w:rsidTr="00BD1082">
        <w:trPr>
          <w:trHeight w:val="205"/>
        </w:trPr>
        <w:tc>
          <w:tcPr>
            <w:tcW w:w="9458" w:type="dxa"/>
            <w:gridSpan w:val="5"/>
          </w:tcPr>
          <w:p w14:paraId="057E5156" w14:textId="77777777" w:rsidR="00C46490" w:rsidRPr="00FA41D5" w:rsidRDefault="00A13EED">
            <w:pPr>
              <w:pStyle w:val="TableParagraph"/>
              <w:spacing w:before="8"/>
              <w:rPr>
                <w:sz w:val="20"/>
                <w:szCs w:val="20"/>
              </w:rPr>
            </w:pPr>
            <w:r w:rsidRPr="00FA41D5">
              <w:rPr>
                <w:sz w:val="20"/>
                <w:szCs w:val="20"/>
              </w:rPr>
              <w:t>(Se refiere a lo ejecutado en la práctica)</w:t>
            </w:r>
          </w:p>
        </w:tc>
      </w:tr>
      <w:tr w:rsidR="00C46490" w:rsidRPr="004D5B4F" w14:paraId="6569E555" w14:textId="77777777" w:rsidTr="00BD1082">
        <w:trPr>
          <w:trHeight w:val="205"/>
        </w:trPr>
        <w:tc>
          <w:tcPr>
            <w:tcW w:w="9458" w:type="dxa"/>
            <w:gridSpan w:val="5"/>
            <w:shd w:val="clear" w:color="auto" w:fill="F1F1F1"/>
          </w:tcPr>
          <w:p w14:paraId="3E8A9459" w14:textId="77777777" w:rsidR="00C46490" w:rsidRPr="00FA41D5" w:rsidRDefault="00A13EED">
            <w:pPr>
              <w:pStyle w:val="TableParagraph"/>
              <w:spacing w:before="8"/>
              <w:rPr>
                <w:b/>
                <w:sz w:val="20"/>
                <w:szCs w:val="20"/>
              </w:rPr>
            </w:pPr>
            <w:r w:rsidRPr="00FA41D5">
              <w:rPr>
                <w:b/>
                <w:sz w:val="20"/>
                <w:szCs w:val="20"/>
              </w:rPr>
              <w:t>OBSERVACIONES</w:t>
            </w:r>
          </w:p>
        </w:tc>
      </w:tr>
      <w:tr w:rsidR="00C46490" w:rsidRPr="004D5B4F" w14:paraId="6DA7D911" w14:textId="77777777" w:rsidTr="00BD1082">
        <w:trPr>
          <w:trHeight w:val="205"/>
        </w:trPr>
        <w:tc>
          <w:tcPr>
            <w:tcW w:w="9458" w:type="dxa"/>
            <w:gridSpan w:val="5"/>
          </w:tcPr>
          <w:p w14:paraId="2A8FE744" w14:textId="77777777" w:rsidR="00C46490" w:rsidRPr="00FA41D5" w:rsidRDefault="00C46490">
            <w:pPr>
              <w:pStyle w:val="TableParagraph"/>
              <w:ind w:left="0"/>
              <w:rPr>
                <w:sz w:val="20"/>
                <w:szCs w:val="20"/>
              </w:rPr>
            </w:pPr>
          </w:p>
        </w:tc>
      </w:tr>
      <w:tr w:rsidR="00C46490" w:rsidRPr="004D5B4F" w14:paraId="282BC7B6" w14:textId="77777777" w:rsidTr="00BD1082">
        <w:trPr>
          <w:trHeight w:val="205"/>
        </w:trPr>
        <w:tc>
          <w:tcPr>
            <w:tcW w:w="9458" w:type="dxa"/>
            <w:gridSpan w:val="5"/>
            <w:shd w:val="clear" w:color="auto" w:fill="F1F1F1"/>
          </w:tcPr>
          <w:p w14:paraId="5B3F584F" w14:textId="77777777" w:rsidR="00C46490" w:rsidRPr="00FA41D5" w:rsidRDefault="00A13EED">
            <w:pPr>
              <w:pStyle w:val="TableParagraph"/>
              <w:spacing w:before="8"/>
              <w:rPr>
                <w:b/>
                <w:sz w:val="20"/>
                <w:szCs w:val="20"/>
              </w:rPr>
            </w:pPr>
            <w:r w:rsidRPr="00FA41D5">
              <w:rPr>
                <w:b/>
                <w:sz w:val="20"/>
                <w:szCs w:val="20"/>
              </w:rPr>
              <w:t>CONCLUSIONES</w:t>
            </w:r>
          </w:p>
        </w:tc>
      </w:tr>
      <w:tr w:rsidR="00C46490" w:rsidRPr="004D5B4F" w14:paraId="3EEBD5BE" w14:textId="77777777" w:rsidTr="00BD1082">
        <w:trPr>
          <w:trHeight w:val="205"/>
        </w:trPr>
        <w:tc>
          <w:tcPr>
            <w:tcW w:w="9458" w:type="dxa"/>
            <w:gridSpan w:val="5"/>
          </w:tcPr>
          <w:p w14:paraId="32995202" w14:textId="77777777" w:rsidR="00C46490" w:rsidRPr="00FA41D5" w:rsidRDefault="00C46490">
            <w:pPr>
              <w:pStyle w:val="TableParagraph"/>
              <w:ind w:left="0"/>
              <w:rPr>
                <w:sz w:val="20"/>
                <w:szCs w:val="20"/>
              </w:rPr>
            </w:pPr>
          </w:p>
        </w:tc>
      </w:tr>
      <w:tr w:rsidR="00C46490" w:rsidRPr="004D5B4F" w14:paraId="086666DE" w14:textId="77777777" w:rsidTr="00BD1082">
        <w:trPr>
          <w:trHeight w:val="205"/>
        </w:trPr>
        <w:tc>
          <w:tcPr>
            <w:tcW w:w="9458" w:type="dxa"/>
            <w:gridSpan w:val="5"/>
            <w:shd w:val="clear" w:color="auto" w:fill="F1F1F1"/>
          </w:tcPr>
          <w:p w14:paraId="7873AAA5" w14:textId="77777777" w:rsidR="00C46490" w:rsidRPr="00FA41D5" w:rsidRDefault="00A13EED">
            <w:pPr>
              <w:pStyle w:val="TableParagraph"/>
              <w:spacing w:before="8"/>
              <w:rPr>
                <w:b/>
                <w:sz w:val="20"/>
                <w:szCs w:val="20"/>
              </w:rPr>
            </w:pPr>
            <w:r w:rsidRPr="00FA41D5">
              <w:rPr>
                <w:b/>
                <w:sz w:val="20"/>
                <w:szCs w:val="20"/>
              </w:rPr>
              <w:t>RECOMENDACIONES</w:t>
            </w:r>
          </w:p>
        </w:tc>
      </w:tr>
      <w:tr w:rsidR="00C46490" w:rsidRPr="004D5B4F" w14:paraId="1A73BDD9" w14:textId="77777777" w:rsidTr="00BD1082">
        <w:trPr>
          <w:trHeight w:val="205"/>
        </w:trPr>
        <w:tc>
          <w:tcPr>
            <w:tcW w:w="9458" w:type="dxa"/>
            <w:gridSpan w:val="5"/>
          </w:tcPr>
          <w:p w14:paraId="5B850DEA" w14:textId="77777777" w:rsidR="00C46490" w:rsidRPr="00FA41D5" w:rsidRDefault="00C46490">
            <w:pPr>
              <w:pStyle w:val="TableParagraph"/>
              <w:ind w:left="0"/>
              <w:rPr>
                <w:sz w:val="20"/>
                <w:szCs w:val="20"/>
              </w:rPr>
            </w:pPr>
          </w:p>
        </w:tc>
      </w:tr>
      <w:tr w:rsidR="00C46490" w:rsidRPr="004D5B4F" w14:paraId="6FEFEF4F" w14:textId="77777777" w:rsidTr="00BD1082">
        <w:trPr>
          <w:trHeight w:val="205"/>
        </w:trPr>
        <w:tc>
          <w:tcPr>
            <w:tcW w:w="9458" w:type="dxa"/>
            <w:gridSpan w:val="5"/>
          </w:tcPr>
          <w:p w14:paraId="654700A0" w14:textId="77777777" w:rsidR="00C46490" w:rsidRPr="00FA41D5" w:rsidRDefault="00A13EED">
            <w:pPr>
              <w:pStyle w:val="TableParagraph"/>
              <w:spacing w:before="8"/>
              <w:rPr>
                <w:b/>
                <w:sz w:val="20"/>
                <w:szCs w:val="20"/>
              </w:rPr>
            </w:pPr>
            <w:r w:rsidRPr="00FA41D5">
              <w:rPr>
                <w:b/>
                <w:sz w:val="20"/>
                <w:szCs w:val="20"/>
              </w:rPr>
              <w:t>BIBLIOGRAFÍA</w:t>
            </w:r>
          </w:p>
        </w:tc>
      </w:tr>
      <w:tr w:rsidR="00C46490" w:rsidRPr="004A2D9C" w14:paraId="5FDB914E" w14:textId="77777777" w:rsidTr="00BD1082">
        <w:trPr>
          <w:trHeight w:val="205"/>
        </w:trPr>
        <w:tc>
          <w:tcPr>
            <w:tcW w:w="9458" w:type="dxa"/>
            <w:gridSpan w:val="5"/>
          </w:tcPr>
          <w:p w14:paraId="260060C6" w14:textId="77777777" w:rsidR="00FD74B8" w:rsidRPr="00707C4F" w:rsidRDefault="00FD74B8" w:rsidP="00FD74B8">
            <w:pPr>
              <w:pStyle w:val="Prrafodelista"/>
              <w:numPr>
                <w:ilvl w:val="0"/>
                <w:numId w:val="32"/>
              </w:numPr>
              <w:adjustRightInd w:val="0"/>
              <w:jc w:val="both"/>
              <w:rPr>
                <w:sz w:val="20"/>
                <w:szCs w:val="20"/>
                <w:lang w:val="es-EC"/>
              </w:rPr>
            </w:pPr>
            <w:r w:rsidRPr="00707C4F">
              <w:rPr>
                <w:sz w:val="20"/>
                <w:szCs w:val="20"/>
                <w:lang w:val="es-EC"/>
              </w:rPr>
              <w:t xml:space="preserve">Henry J. El Laboratorio en el Diagnóstico Clínico. Madrid, </w:t>
            </w:r>
            <w:proofErr w:type="spellStart"/>
            <w:r w:rsidRPr="00707C4F">
              <w:rPr>
                <w:sz w:val="20"/>
                <w:szCs w:val="20"/>
                <w:lang w:val="es-EC"/>
              </w:rPr>
              <w:t>Marbán</w:t>
            </w:r>
            <w:proofErr w:type="spellEnd"/>
            <w:r w:rsidRPr="00707C4F">
              <w:rPr>
                <w:sz w:val="20"/>
                <w:szCs w:val="20"/>
                <w:lang w:val="es-EC"/>
              </w:rPr>
              <w:t xml:space="preserve">. 2005  </w:t>
            </w:r>
          </w:p>
          <w:p w14:paraId="778D4326" w14:textId="6550ADA0" w:rsidR="00FD74B8" w:rsidRPr="0098076A" w:rsidRDefault="00FD74B8" w:rsidP="00FD74B8">
            <w:pPr>
              <w:pStyle w:val="Prrafodelista"/>
              <w:numPr>
                <w:ilvl w:val="0"/>
                <w:numId w:val="32"/>
              </w:numPr>
              <w:adjustRightInd w:val="0"/>
              <w:jc w:val="both"/>
              <w:rPr>
                <w:sz w:val="20"/>
                <w:szCs w:val="20"/>
                <w:lang w:val="es-EC"/>
              </w:rPr>
            </w:pPr>
            <w:r w:rsidRPr="003B0602">
              <w:rPr>
                <w:sz w:val="20"/>
                <w:szCs w:val="20"/>
                <w:lang w:val="es-EC"/>
              </w:rPr>
              <w:t xml:space="preserve">Linear </w:t>
            </w:r>
            <w:proofErr w:type="spellStart"/>
            <w:r w:rsidRPr="003B0602">
              <w:rPr>
                <w:sz w:val="20"/>
                <w:szCs w:val="20"/>
                <w:lang w:val="es-EC"/>
              </w:rPr>
              <w:t>Chemicals</w:t>
            </w:r>
            <w:proofErr w:type="spellEnd"/>
            <w:r w:rsidRPr="003B0602">
              <w:rPr>
                <w:sz w:val="20"/>
                <w:szCs w:val="20"/>
                <w:lang w:val="es-EC"/>
              </w:rPr>
              <w:t xml:space="preserve">. </w:t>
            </w:r>
            <w:r w:rsidR="00BD1082">
              <w:rPr>
                <w:sz w:val="20"/>
                <w:szCs w:val="20"/>
                <w:lang w:val="es-EC"/>
              </w:rPr>
              <w:t xml:space="preserve">Triglicéridos, </w:t>
            </w:r>
            <w:r w:rsidR="00BD1082" w:rsidRPr="00BD1082">
              <w:rPr>
                <w:sz w:val="20"/>
                <w:szCs w:val="20"/>
                <w:lang w:val="es-EC"/>
              </w:rPr>
              <w:t xml:space="preserve">Enzimático colorimétrico </w:t>
            </w:r>
            <w:r w:rsidR="00762C59" w:rsidRPr="00BD1082">
              <w:rPr>
                <w:sz w:val="20"/>
                <w:szCs w:val="20"/>
                <w:lang w:val="es-EC"/>
              </w:rPr>
              <w:t>de punto</w:t>
            </w:r>
            <w:r w:rsidR="00BD1082" w:rsidRPr="00BD1082">
              <w:rPr>
                <w:sz w:val="20"/>
                <w:szCs w:val="20"/>
                <w:lang w:val="es-EC"/>
              </w:rPr>
              <w:t xml:space="preserve"> final.</w:t>
            </w:r>
            <w:r w:rsidR="00BD1082">
              <w:rPr>
                <w:sz w:val="20"/>
                <w:szCs w:val="20"/>
                <w:lang w:val="es-EC"/>
              </w:rPr>
              <w:t xml:space="preserve"> </w:t>
            </w:r>
            <w:r w:rsidRPr="0098076A">
              <w:rPr>
                <w:sz w:val="20"/>
                <w:szCs w:val="20"/>
                <w:lang w:val="es-EC"/>
              </w:rPr>
              <w:t xml:space="preserve">2019 [citado 19 </w:t>
            </w:r>
            <w:r w:rsidR="00F33E99">
              <w:rPr>
                <w:sz w:val="20"/>
                <w:szCs w:val="20"/>
                <w:lang w:val="es-EC"/>
              </w:rPr>
              <w:t>octubre</w:t>
            </w:r>
            <w:r w:rsidRPr="0098076A">
              <w:rPr>
                <w:sz w:val="20"/>
                <w:szCs w:val="20"/>
                <w:lang w:val="es-EC"/>
              </w:rPr>
              <w:t xml:space="preserve"> 202</w:t>
            </w:r>
            <w:r w:rsidR="00F33E99">
              <w:rPr>
                <w:sz w:val="20"/>
                <w:szCs w:val="20"/>
                <w:lang w:val="es-EC"/>
              </w:rPr>
              <w:t>4</w:t>
            </w:r>
            <w:r w:rsidRPr="0098076A">
              <w:rPr>
                <w:sz w:val="20"/>
                <w:szCs w:val="20"/>
                <w:lang w:val="es-EC"/>
              </w:rPr>
              <w:t xml:space="preserve">]. Disponible en: </w:t>
            </w:r>
            <w:hyperlink r:id="rId11" w:history="1">
              <w:r w:rsidR="00762C59" w:rsidRPr="00762C59">
                <w:rPr>
                  <w:sz w:val="20"/>
                  <w:szCs w:val="20"/>
                  <w:lang w:val="es-EC"/>
                </w:rPr>
                <w:t>https://www.linear.es/wp-content/uploads/2018/03/1155005I-Rev.-02.pdf</w:t>
              </w:r>
            </w:hyperlink>
            <w:r w:rsidR="00762C59">
              <w:t xml:space="preserve"> </w:t>
            </w:r>
          </w:p>
          <w:p w14:paraId="7B4D4EF9" w14:textId="7BD6EC8A" w:rsidR="00F82976" w:rsidRPr="00762C59" w:rsidRDefault="00F82976" w:rsidP="00762C59">
            <w:pPr>
              <w:adjustRightInd w:val="0"/>
              <w:ind w:left="360"/>
              <w:jc w:val="both"/>
              <w:rPr>
                <w:sz w:val="20"/>
                <w:szCs w:val="20"/>
                <w:lang w:val="es-EC"/>
              </w:rPr>
            </w:pPr>
          </w:p>
        </w:tc>
      </w:tr>
      <w:tr w:rsidR="00C46490" w:rsidRPr="004A2D9C" w14:paraId="69DE39E9" w14:textId="77777777" w:rsidTr="00BD1082">
        <w:trPr>
          <w:trHeight w:val="1343"/>
        </w:trPr>
        <w:tc>
          <w:tcPr>
            <w:tcW w:w="3179" w:type="dxa"/>
            <w:gridSpan w:val="2"/>
          </w:tcPr>
          <w:p w14:paraId="05623814" w14:textId="77777777" w:rsidR="00C46490" w:rsidRPr="004A2D9C" w:rsidRDefault="00C46490">
            <w:pPr>
              <w:pStyle w:val="TableParagraph"/>
              <w:ind w:left="0"/>
              <w:rPr>
                <w:sz w:val="20"/>
                <w:szCs w:val="20"/>
                <w:lang w:val="es-EC"/>
              </w:rPr>
            </w:pPr>
          </w:p>
        </w:tc>
        <w:tc>
          <w:tcPr>
            <w:tcW w:w="2871" w:type="dxa"/>
          </w:tcPr>
          <w:p w14:paraId="240E0978" w14:textId="77777777" w:rsidR="00C46490" w:rsidRPr="004A2D9C" w:rsidRDefault="00C46490">
            <w:pPr>
              <w:pStyle w:val="TableParagraph"/>
              <w:ind w:left="0"/>
              <w:rPr>
                <w:sz w:val="20"/>
                <w:szCs w:val="20"/>
                <w:lang w:val="es-EC"/>
              </w:rPr>
            </w:pPr>
          </w:p>
        </w:tc>
        <w:tc>
          <w:tcPr>
            <w:tcW w:w="3408" w:type="dxa"/>
            <w:gridSpan w:val="2"/>
          </w:tcPr>
          <w:p w14:paraId="498E0EE5" w14:textId="77777777" w:rsidR="00C46490" w:rsidRPr="004A2D9C" w:rsidRDefault="00C46490">
            <w:pPr>
              <w:pStyle w:val="TableParagraph"/>
              <w:ind w:left="0"/>
              <w:rPr>
                <w:sz w:val="20"/>
                <w:szCs w:val="20"/>
                <w:lang w:val="es-EC"/>
              </w:rPr>
            </w:pPr>
          </w:p>
        </w:tc>
      </w:tr>
      <w:tr w:rsidR="00C46490" w:rsidRPr="00ED418A" w14:paraId="6A41B22C" w14:textId="77777777" w:rsidTr="00BD1082">
        <w:trPr>
          <w:trHeight w:val="206"/>
        </w:trPr>
        <w:tc>
          <w:tcPr>
            <w:tcW w:w="3179" w:type="dxa"/>
            <w:gridSpan w:val="2"/>
            <w:vAlign w:val="center"/>
          </w:tcPr>
          <w:p w14:paraId="0D608DDE" w14:textId="77777777" w:rsidR="00C46490" w:rsidRPr="00ED418A" w:rsidRDefault="00A13EED" w:rsidP="00323EF9">
            <w:pPr>
              <w:pStyle w:val="TableParagraph"/>
              <w:spacing w:before="8"/>
              <w:ind w:right="501"/>
              <w:jc w:val="center"/>
              <w:rPr>
                <w:b/>
                <w:sz w:val="20"/>
                <w:szCs w:val="20"/>
              </w:rPr>
            </w:pPr>
            <w:r w:rsidRPr="00ED418A">
              <w:rPr>
                <w:b/>
                <w:sz w:val="20"/>
                <w:szCs w:val="20"/>
              </w:rPr>
              <w:t>Mgs. Ximena Robalino</w:t>
            </w:r>
          </w:p>
        </w:tc>
        <w:tc>
          <w:tcPr>
            <w:tcW w:w="2871" w:type="dxa"/>
            <w:vAlign w:val="center"/>
          </w:tcPr>
          <w:p w14:paraId="4C2F388B" w14:textId="77777777" w:rsidR="00C46490" w:rsidRPr="00ED418A" w:rsidRDefault="00D01E1A" w:rsidP="00323EF9">
            <w:pPr>
              <w:pStyle w:val="TableParagraph"/>
              <w:spacing w:before="8"/>
              <w:ind w:right="631"/>
              <w:jc w:val="center"/>
              <w:rPr>
                <w:b/>
                <w:sz w:val="20"/>
                <w:szCs w:val="20"/>
              </w:rPr>
            </w:pPr>
            <w:r>
              <w:rPr>
                <w:b/>
                <w:sz w:val="20"/>
                <w:szCs w:val="20"/>
              </w:rPr>
              <w:t>Mgs. Rosa Elisa Cruz</w:t>
            </w:r>
          </w:p>
        </w:tc>
        <w:tc>
          <w:tcPr>
            <w:tcW w:w="3408" w:type="dxa"/>
            <w:gridSpan w:val="2"/>
            <w:vAlign w:val="center"/>
          </w:tcPr>
          <w:p w14:paraId="4A98FD7E" w14:textId="4E06DDE4" w:rsidR="00323EF9" w:rsidRPr="00ED418A" w:rsidRDefault="003414AE" w:rsidP="006D6D32">
            <w:pPr>
              <w:pStyle w:val="TableParagraph"/>
              <w:spacing w:before="8"/>
              <w:ind w:left="0" w:right="175"/>
              <w:jc w:val="center"/>
              <w:rPr>
                <w:b/>
                <w:sz w:val="20"/>
                <w:szCs w:val="20"/>
              </w:rPr>
            </w:pPr>
            <w:r w:rsidRPr="00ED418A">
              <w:rPr>
                <w:b/>
                <w:sz w:val="20"/>
                <w:szCs w:val="20"/>
              </w:rPr>
              <w:t xml:space="preserve">Mgs. </w:t>
            </w:r>
            <w:r w:rsidR="00323EF9">
              <w:rPr>
                <w:b/>
                <w:sz w:val="20"/>
                <w:szCs w:val="20"/>
              </w:rPr>
              <w:t>Franklin Ramos</w:t>
            </w:r>
          </w:p>
        </w:tc>
      </w:tr>
      <w:tr w:rsidR="00C46490" w:rsidRPr="00ED418A" w14:paraId="1304E368" w14:textId="77777777" w:rsidTr="00BD1082">
        <w:trPr>
          <w:trHeight w:val="347"/>
        </w:trPr>
        <w:tc>
          <w:tcPr>
            <w:tcW w:w="3179" w:type="dxa"/>
            <w:gridSpan w:val="2"/>
            <w:vAlign w:val="center"/>
          </w:tcPr>
          <w:p w14:paraId="755D354C" w14:textId="77777777" w:rsidR="00C46490" w:rsidRPr="00ED418A" w:rsidRDefault="00136F15" w:rsidP="00323EF9">
            <w:pPr>
              <w:pStyle w:val="TableParagraph"/>
              <w:spacing w:before="80"/>
              <w:ind w:left="0" w:right="501"/>
              <w:jc w:val="center"/>
              <w:rPr>
                <w:b/>
                <w:sz w:val="20"/>
                <w:szCs w:val="20"/>
              </w:rPr>
            </w:pPr>
            <w:r w:rsidRPr="00ED418A">
              <w:rPr>
                <w:b/>
                <w:sz w:val="20"/>
                <w:szCs w:val="20"/>
              </w:rPr>
              <w:t xml:space="preserve">DIRECTORA DE </w:t>
            </w:r>
            <w:r w:rsidR="00A13EED" w:rsidRPr="00ED418A">
              <w:rPr>
                <w:b/>
                <w:sz w:val="20"/>
                <w:szCs w:val="20"/>
              </w:rPr>
              <w:t>CARRERA</w:t>
            </w:r>
          </w:p>
        </w:tc>
        <w:tc>
          <w:tcPr>
            <w:tcW w:w="2871" w:type="dxa"/>
            <w:vAlign w:val="center"/>
          </w:tcPr>
          <w:p w14:paraId="13D2935B" w14:textId="77777777" w:rsidR="00C46490" w:rsidRPr="00ED418A" w:rsidRDefault="00A13EED" w:rsidP="00323EF9">
            <w:pPr>
              <w:pStyle w:val="TableParagraph"/>
              <w:spacing w:before="80"/>
              <w:ind w:left="0" w:right="628"/>
              <w:jc w:val="center"/>
              <w:rPr>
                <w:b/>
                <w:sz w:val="20"/>
                <w:szCs w:val="20"/>
              </w:rPr>
            </w:pPr>
            <w:r w:rsidRPr="00ED418A">
              <w:rPr>
                <w:b/>
                <w:sz w:val="20"/>
                <w:szCs w:val="20"/>
              </w:rPr>
              <w:t>DOCENTE</w:t>
            </w:r>
          </w:p>
        </w:tc>
        <w:tc>
          <w:tcPr>
            <w:tcW w:w="3408" w:type="dxa"/>
            <w:gridSpan w:val="2"/>
            <w:vAlign w:val="center"/>
          </w:tcPr>
          <w:p w14:paraId="106BCF85" w14:textId="77777777" w:rsidR="00C46490" w:rsidRPr="00ED418A" w:rsidRDefault="00136F15" w:rsidP="00323EF9">
            <w:pPr>
              <w:pStyle w:val="TableParagraph"/>
              <w:spacing w:before="80"/>
              <w:ind w:right="175"/>
              <w:jc w:val="center"/>
              <w:rPr>
                <w:b/>
                <w:sz w:val="20"/>
                <w:szCs w:val="20"/>
              </w:rPr>
            </w:pPr>
            <w:r w:rsidRPr="00ED418A">
              <w:rPr>
                <w:b/>
                <w:sz w:val="20"/>
                <w:szCs w:val="20"/>
              </w:rPr>
              <w:t xml:space="preserve">RESPONSABLE DEL </w:t>
            </w:r>
            <w:r w:rsidR="00A13EED" w:rsidRPr="00ED418A">
              <w:rPr>
                <w:b/>
                <w:sz w:val="20"/>
                <w:szCs w:val="20"/>
              </w:rPr>
              <w:t>LABORATORIO</w:t>
            </w:r>
          </w:p>
        </w:tc>
      </w:tr>
    </w:tbl>
    <w:p w14:paraId="3D94C833" w14:textId="77777777" w:rsidR="00A13EED" w:rsidRPr="004D5B4F" w:rsidRDefault="00A13EED">
      <w:pPr>
        <w:rPr>
          <w:sz w:val="20"/>
          <w:szCs w:val="20"/>
        </w:rPr>
      </w:pPr>
    </w:p>
    <w:sectPr w:rsidR="00A13EED" w:rsidRPr="004D5B4F">
      <w:pgSz w:w="12240" w:h="15840"/>
      <w:pgMar w:top="108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B6A4" w14:textId="77777777" w:rsidR="004D1C37" w:rsidRDefault="004D1C37" w:rsidP="005667DE">
      <w:r>
        <w:separator/>
      </w:r>
    </w:p>
  </w:endnote>
  <w:endnote w:type="continuationSeparator" w:id="0">
    <w:p w14:paraId="4A917BA8" w14:textId="77777777" w:rsidR="004D1C37" w:rsidRDefault="004D1C37" w:rsidP="0056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D7AD" w14:textId="77777777" w:rsidR="004D1C37" w:rsidRDefault="004D1C37" w:rsidP="005667DE">
      <w:r>
        <w:separator/>
      </w:r>
    </w:p>
  </w:footnote>
  <w:footnote w:type="continuationSeparator" w:id="0">
    <w:p w14:paraId="0158215E" w14:textId="77777777" w:rsidR="004D1C37" w:rsidRDefault="004D1C37" w:rsidP="0056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396"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6"/>
      <w:gridCol w:w="5560"/>
    </w:tblGrid>
    <w:tr w:rsidR="005667DE" w14:paraId="23DF745A" w14:textId="77777777" w:rsidTr="004D5B4F">
      <w:trPr>
        <w:trHeight w:val="434"/>
      </w:trPr>
      <w:tc>
        <w:tcPr>
          <w:tcW w:w="3836" w:type="dxa"/>
          <w:vMerge w:val="restart"/>
        </w:tcPr>
        <w:p w14:paraId="5140DCC7" w14:textId="77777777" w:rsidR="005667DE" w:rsidRDefault="005667DE" w:rsidP="005667DE">
          <w:pPr>
            <w:pStyle w:val="TableParagraph"/>
            <w:spacing w:before="2"/>
            <w:ind w:left="0"/>
            <w:rPr>
              <w:rFonts w:ascii="Times New Roman"/>
              <w:sz w:val="4"/>
            </w:rPr>
          </w:pPr>
        </w:p>
        <w:p w14:paraId="4062937D" w14:textId="77777777" w:rsidR="005667DE" w:rsidRDefault="005667DE" w:rsidP="005667DE">
          <w:pPr>
            <w:pStyle w:val="TableParagraph"/>
            <w:ind w:left="161"/>
            <w:rPr>
              <w:rFonts w:ascii="Times New Roman"/>
              <w:sz w:val="20"/>
            </w:rPr>
          </w:pPr>
          <w:r>
            <w:rPr>
              <w:rFonts w:ascii="Times New Roman"/>
              <w:noProof/>
              <w:sz w:val="20"/>
              <w:lang w:val="es-EC" w:eastAsia="es-EC" w:bidi="ar-SA"/>
            </w:rPr>
            <w:drawing>
              <wp:inline distT="0" distB="0" distL="0" distR="0" wp14:anchorId="3C8318A8" wp14:editId="0C55ABEB">
                <wp:extent cx="2241235" cy="613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1235" cy="613505"/>
                        </a:xfrm>
                        <a:prstGeom prst="rect">
                          <a:avLst/>
                        </a:prstGeom>
                      </pic:spPr>
                    </pic:pic>
                  </a:graphicData>
                </a:graphic>
              </wp:inline>
            </w:drawing>
          </w:r>
        </w:p>
      </w:tc>
      <w:tc>
        <w:tcPr>
          <w:tcW w:w="5560" w:type="dxa"/>
          <w:tcBorders>
            <w:bottom w:val="nil"/>
          </w:tcBorders>
        </w:tcPr>
        <w:p w14:paraId="20C0EA0B" w14:textId="77777777" w:rsidR="005667DE" w:rsidRDefault="005667DE" w:rsidP="005667DE">
          <w:pPr>
            <w:pStyle w:val="TableParagraph"/>
            <w:spacing w:before="139"/>
            <w:ind w:left="206" w:right="176"/>
            <w:jc w:val="center"/>
            <w:rPr>
              <w:b/>
              <w:sz w:val="21"/>
            </w:rPr>
          </w:pPr>
          <w:r>
            <w:rPr>
              <w:b/>
              <w:sz w:val="21"/>
            </w:rPr>
            <w:t>UNIVERSIDAD NACIONAL DE CHIMBORAZO</w:t>
          </w:r>
        </w:p>
      </w:tc>
    </w:tr>
    <w:tr w:rsidR="005667DE" w14:paraId="60B39048" w14:textId="77777777" w:rsidTr="004D5B4F">
      <w:trPr>
        <w:trHeight w:val="313"/>
      </w:trPr>
      <w:tc>
        <w:tcPr>
          <w:tcW w:w="3836" w:type="dxa"/>
          <w:vMerge/>
          <w:tcBorders>
            <w:top w:val="nil"/>
          </w:tcBorders>
        </w:tcPr>
        <w:p w14:paraId="4E7F57B1" w14:textId="77777777" w:rsidR="005667DE" w:rsidRDefault="005667DE" w:rsidP="005667DE">
          <w:pPr>
            <w:rPr>
              <w:sz w:val="2"/>
              <w:szCs w:val="2"/>
            </w:rPr>
          </w:pPr>
        </w:p>
      </w:tc>
      <w:tc>
        <w:tcPr>
          <w:tcW w:w="5560" w:type="dxa"/>
          <w:tcBorders>
            <w:top w:val="nil"/>
            <w:bottom w:val="nil"/>
          </w:tcBorders>
        </w:tcPr>
        <w:p w14:paraId="06540795" w14:textId="77777777" w:rsidR="005667DE" w:rsidRDefault="005667DE" w:rsidP="005667DE">
          <w:pPr>
            <w:pStyle w:val="TableParagraph"/>
            <w:spacing w:before="49"/>
            <w:ind w:left="206" w:right="176"/>
            <w:jc w:val="center"/>
            <w:rPr>
              <w:b/>
              <w:sz w:val="18"/>
            </w:rPr>
          </w:pPr>
          <w:r>
            <w:rPr>
              <w:b/>
              <w:sz w:val="18"/>
            </w:rPr>
            <w:t>FACULTAD DE CIENCIAS DE LA SALUD</w:t>
          </w:r>
        </w:p>
      </w:tc>
    </w:tr>
    <w:tr w:rsidR="005667DE" w14:paraId="37BB7A58" w14:textId="77777777" w:rsidTr="004D5B4F">
      <w:trPr>
        <w:trHeight w:val="254"/>
      </w:trPr>
      <w:tc>
        <w:tcPr>
          <w:tcW w:w="3836" w:type="dxa"/>
          <w:vMerge/>
          <w:tcBorders>
            <w:top w:val="nil"/>
          </w:tcBorders>
        </w:tcPr>
        <w:p w14:paraId="63B2F9FD" w14:textId="77777777" w:rsidR="005667DE" w:rsidRDefault="005667DE" w:rsidP="005667DE">
          <w:pPr>
            <w:rPr>
              <w:sz w:val="2"/>
              <w:szCs w:val="2"/>
            </w:rPr>
          </w:pPr>
        </w:p>
      </w:tc>
      <w:tc>
        <w:tcPr>
          <w:tcW w:w="5560" w:type="dxa"/>
          <w:tcBorders>
            <w:top w:val="nil"/>
          </w:tcBorders>
        </w:tcPr>
        <w:p w14:paraId="642D44F6" w14:textId="16E8438F" w:rsidR="005667DE" w:rsidRDefault="005667DE" w:rsidP="005667DE">
          <w:pPr>
            <w:pStyle w:val="TableParagraph"/>
            <w:spacing w:before="49" w:line="185" w:lineRule="exact"/>
            <w:ind w:left="206" w:right="178"/>
            <w:jc w:val="center"/>
            <w:rPr>
              <w:b/>
              <w:sz w:val="17"/>
            </w:rPr>
          </w:pPr>
          <w:r>
            <w:rPr>
              <w:b/>
              <w:sz w:val="17"/>
            </w:rPr>
            <w:t>CARRERA DE LABORATORIO CLÍNICO</w:t>
          </w:r>
        </w:p>
      </w:tc>
    </w:tr>
  </w:tbl>
  <w:p w14:paraId="2E5147CE" w14:textId="77777777" w:rsidR="005667DE" w:rsidRDefault="00566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17"/>
    <w:multiLevelType w:val="hybridMultilevel"/>
    <w:tmpl w:val="ECB8E810"/>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8F78FD"/>
    <w:multiLevelType w:val="hybridMultilevel"/>
    <w:tmpl w:val="932434CE"/>
    <w:lvl w:ilvl="0" w:tplc="300A000F">
      <w:start w:val="1"/>
      <w:numFmt w:val="decimal"/>
      <w:lvlText w:val="%1."/>
      <w:lvlJc w:val="left"/>
      <w:pPr>
        <w:ind w:left="36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09372FA7"/>
    <w:multiLevelType w:val="hybridMultilevel"/>
    <w:tmpl w:val="A2B0DBE2"/>
    <w:lvl w:ilvl="0" w:tplc="C45CB9F6">
      <w:numFmt w:val="bullet"/>
      <w:lvlText w:val="-"/>
      <w:lvlJc w:val="left"/>
      <w:pPr>
        <w:ind w:left="360" w:hanging="360"/>
      </w:pPr>
      <w:rPr>
        <w:rFonts w:ascii="Arial" w:eastAsia="Arial"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F8D56CC"/>
    <w:multiLevelType w:val="hybridMultilevel"/>
    <w:tmpl w:val="0D18CB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7169FB"/>
    <w:multiLevelType w:val="hybridMultilevel"/>
    <w:tmpl w:val="18283FD0"/>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1C1776"/>
    <w:multiLevelType w:val="hybridMultilevel"/>
    <w:tmpl w:val="792ACD52"/>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173486"/>
    <w:multiLevelType w:val="hybridMultilevel"/>
    <w:tmpl w:val="795C3FA4"/>
    <w:lvl w:ilvl="0" w:tplc="300A000F">
      <w:start w:val="1"/>
      <w:numFmt w:val="decimal"/>
      <w:lvlText w:val="%1."/>
      <w:lvlJc w:val="left"/>
      <w:pPr>
        <w:ind w:left="750" w:hanging="360"/>
      </w:pPr>
    </w:lvl>
    <w:lvl w:ilvl="1" w:tplc="300A0019" w:tentative="1">
      <w:start w:val="1"/>
      <w:numFmt w:val="lowerLetter"/>
      <w:lvlText w:val="%2."/>
      <w:lvlJc w:val="left"/>
      <w:pPr>
        <w:ind w:left="1470" w:hanging="360"/>
      </w:pPr>
    </w:lvl>
    <w:lvl w:ilvl="2" w:tplc="300A001B" w:tentative="1">
      <w:start w:val="1"/>
      <w:numFmt w:val="lowerRoman"/>
      <w:lvlText w:val="%3."/>
      <w:lvlJc w:val="right"/>
      <w:pPr>
        <w:ind w:left="2190" w:hanging="180"/>
      </w:pPr>
    </w:lvl>
    <w:lvl w:ilvl="3" w:tplc="300A000F" w:tentative="1">
      <w:start w:val="1"/>
      <w:numFmt w:val="decimal"/>
      <w:lvlText w:val="%4."/>
      <w:lvlJc w:val="left"/>
      <w:pPr>
        <w:ind w:left="2910" w:hanging="360"/>
      </w:pPr>
    </w:lvl>
    <w:lvl w:ilvl="4" w:tplc="300A0019" w:tentative="1">
      <w:start w:val="1"/>
      <w:numFmt w:val="lowerLetter"/>
      <w:lvlText w:val="%5."/>
      <w:lvlJc w:val="left"/>
      <w:pPr>
        <w:ind w:left="3630" w:hanging="360"/>
      </w:pPr>
    </w:lvl>
    <w:lvl w:ilvl="5" w:tplc="300A001B" w:tentative="1">
      <w:start w:val="1"/>
      <w:numFmt w:val="lowerRoman"/>
      <w:lvlText w:val="%6."/>
      <w:lvlJc w:val="right"/>
      <w:pPr>
        <w:ind w:left="4350" w:hanging="180"/>
      </w:pPr>
    </w:lvl>
    <w:lvl w:ilvl="6" w:tplc="300A000F" w:tentative="1">
      <w:start w:val="1"/>
      <w:numFmt w:val="decimal"/>
      <w:lvlText w:val="%7."/>
      <w:lvlJc w:val="left"/>
      <w:pPr>
        <w:ind w:left="5070" w:hanging="360"/>
      </w:pPr>
    </w:lvl>
    <w:lvl w:ilvl="7" w:tplc="300A0019" w:tentative="1">
      <w:start w:val="1"/>
      <w:numFmt w:val="lowerLetter"/>
      <w:lvlText w:val="%8."/>
      <w:lvlJc w:val="left"/>
      <w:pPr>
        <w:ind w:left="5790" w:hanging="360"/>
      </w:pPr>
    </w:lvl>
    <w:lvl w:ilvl="8" w:tplc="300A001B" w:tentative="1">
      <w:start w:val="1"/>
      <w:numFmt w:val="lowerRoman"/>
      <w:lvlText w:val="%9."/>
      <w:lvlJc w:val="right"/>
      <w:pPr>
        <w:ind w:left="6510" w:hanging="180"/>
      </w:pPr>
    </w:lvl>
  </w:abstractNum>
  <w:abstractNum w:abstractNumId="7" w15:restartNumberingAfterBreak="0">
    <w:nsid w:val="195932F8"/>
    <w:multiLevelType w:val="multilevel"/>
    <w:tmpl w:val="105E671A"/>
    <w:lvl w:ilvl="0">
      <w:numFmt w:val="bullet"/>
      <w:lvlText w:val="-"/>
      <w:lvlJc w:val="left"/>
      <w:pPr>
        <w:tabs>
          <w:tab w:val="num" w:pos="3"/>
        </w:tabs>
        <w:ind w:left="3" w:hanging="360"/>
      </w:pPr>
      <w:rPr>
        <w:rFonts w:ascii="Calibri" w:eastAsia="Calibri" w:hAnsi="Calibri" w:cs="Times New Roman" w:hint="default"/>
        <w:sz w:val="20"/>
      </w:rPr>
    </w:lvl>
    <w:lvl w:ilvl="1" w:tentative="1">
      <w:start w:val="1"/>
      <w:numFmt w:val="bullet"/>
      <w:lvlText w:val="o"/>
      <w:lvlJc w:val="left"/>
      <w:pPr>
        <w:tabs>
          <w:tab w:val="num" w:pos="723"/>
        </w:tabs>
        <w:ind w:left="723" w:hanging="360"/>
      </w:pPr>
      <w:rPr>
        <w:rFonts w:ascii="Courier New" w:hAnsi="Courier New" w:hint="default"/>
        <w:sz w:val="20"/>
      </w:rPr>
    </w:lvl>
    <w:lvl w:ilvl="2" w:tentative="1">
      <w:start w:val="1"/>
      <w:numFmt w:val="bullet"/>
      <w:lvlText w:val=""/>
      <w:lvlJc w:val="left"/>
      <w:pPr>
        <w:tabs>
          <w:tab w:val="num" w:pos="1443"/>
        </w:tabs>
        <w:ind w:left="1443" w:hanging="360"/>
      </w:pPr>
      <w:rPr>
        <w:rFonts w:ascii="Wingdings" w:hAnsi="Wingdings" w:hint="default"/>
        <w:sz w:val="20"/>
      </w:rPr>
    </w:lvl>
    <w:lvl w:ilvl="3" w:tentative="1">
      <w:start w:val="1"/>
      <w:numFmt w:val="bullet"/>
      <w:lvlText w:val=""/>
      <w:lvlJc w:val="left"/>
      <w:pPr>
        <w:tabs>
          <w:tab w:val="num" w:pos="2163"/>
        </w:tabs>
        <w:ind w:left="2163" w:hanging="360"/>
      </w:pPr>
      <w:rPr>
        <w:rFonts w:ascii="Wingdings" w:hAnsi="Wingdings" w:hint="default"/>
        <w:sz w:val="20"/>
      </w:rPr>
    </w:lvl>
    <w:lvl w:ilvl="4" w:tentative="1">
      <w:start w:val="1"/>
      <w:numFmt w:val="bullet"/>
      <w:lvlText w:val=""/>
      <w:lvlJc w:val="left"/>
      <w:pPr>
        <w:tabs>
          <w:tab w:val="num" w:pos="2883"/>
        </w:tabs>
        <w:ind w:left="2883" w:hanging="360"/>
      </w:pPr>
      <w:rPr>
        <w:rFonts w:ascii="Wingdings" w:hAnsi="Wingdings" w:hint="default"/>
        <w:sz w:val="20"/>
      </w:rPr>
    </w:lvl>
    <w:lvl w:ilvl="5" w:tentative="1">
      <w:start w:val="1"/>
      <w:numFmt w:val="bullet"/>
      <w:lvlText w:val=""/>
      <w:lvlJc w:val="left"/>
      <w:pPr>
        <w:tabs>
          <w:tab w:val="num" w:pos="3603"/>
        </w:tabs>
        <w:ind w:left="3603" w:hanging="360"/>
      </w:pPr>
      <w:rPr>
        <w:rFonts w:ascii="Wingdings" w:hAnsi="Wingdings" w:hint="default"/>
        <w:sz w:val="20"/>
      </w:rPr>
    </w:lvl>
    <w:lvl w:ilvl="6" w:tentative="1">
      <w:start w:val="1"/>
      <w:numFmt w:val="bullet"/>
      <w:lvlText w:val=""/>
      <w:lvlJc w:val="left"/>
      <w:pPr>
        <w:tabs>
          <w:tab w:val="num" w:pos="4323"/>
        </w:tabs>
        <w:ind w:left="4323" w:hanging="360"/>
      </w:pPr>
      <w:rPr>
        <w:rFonts w:ascii="Wingdings" w:hAnsi="Wingdings" w:hint="default"/>
        <w:sz w:val="20"/>
      </w:rPr>
    </w:lvl>
    <w:lvl w:ilvl="7" w:tentative="1">
      <w:start w:val="1"/>
      <w:numFmt w:val="bullet"/>
      <w:lvlText w:val=""/>
      <w:lvlJc w:val="left"/>
      <w:pPr>
        <w:tabs>
          <w:tab w:val="num" w:pos="5043"/>
        </w:tabs>
        <w:ind w:left="5043" w:hanging="360"/>
      </w:pPr>
      <w:rPr>
        <w:rFonts w:ascii="Wingdings" w:hAnsi="Wingdings" w:hint="default"/>
        <w:sz w:val="20"/>
      </w:rPr>
    </w:lvl>
    <w:lvl w:ilvl="8" w:tentative="1">
      <w:start w:val="1"/>
      <w:numFmt w:val="bullet"/>
      <w:lvlText w:val=""/>
      <w:lvlJc w:val="left"/>
      <w:pPr>
        <w:tabs>
          <w:tab w:val="num" w:pos="5763"/>
        </w:tabs>
        <w:ind w:left="5763" w:hanging="360"/>
      </w:pPr>
      <w:rPr>
        <w:rFonts w:ascii="Wingdings" w:hAnsi="Wingdings" w:hint="default"/>
        <w:sz w:val="20"/>
      </w:rPr>
    </w:lvl>
  </w:abstractNum>
  <w:abstractNum w:abstractNumId="8" w15:restartNumberingAfterBreak="0">
    <w:nsid w:val="19FE6234"/>
    <w:multiLevelType w:val="hybridMultilevel"/>
    <w:tmpl w:val="65C250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1A142B6F"/>
    <w:multiLevelType w:val="hybridMultilevel"/>
    <w:tmpl w:val="E0B89706"/>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C7D19FB"/>
    <w:multiLevelType w:val="hybridMultilevel"/>
    <w:tmpl w:val="F0E0407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1" w15:restartNumberingAfterBreak="0">
    <w:nsid w:val="208E3118"/>
    <w:multiLevelType w:val="hybridMultilevel"/>
    <w:tmpl w:val="17743216"/>
    <w:lvl w:ilvl="0" w:tplc="300A0001">
      <w:start w:val="1"/>
      <w:numFmt w:val="bullet"/>
      <w:lvlText w:val=""/>
      <w:lvlJc w:val="left"/>
      <w:pPr>
        <w:ind w:left="390" w:hanging="360"/>
      </w:pPr>
      <w:rPr>
        <w:rFonts w:ascii="Symbol" w:hAnsi="Symbol" w:hint="default"/>
      </w:rPr>
    </w:lvl>
    <w:lvl w:ilvl="1" w:tplc="300A0003">
      <w:start w:val="1"/>
      <w:numFmt w:val="bullet"/>
      <w:lvlText w:val="o"/>
      <w:lvlJc w:val="left"/>
      <w:pPr>
        <w:ind w:left="1110" w:hanging="360"/>
      </w:pPr>
      <w:rPr>
        <w:rFonts w:ascii="Courier New" w:hAnsi="Courier New" w:cs="Courier New" w:hint="default"/>
      </w:rPr>
    </w:lvl>
    <w:lvl w:ilvl="2" w:tplc="300A0005">
      <w:start w:val="1"/>
      <w:numFmt w:val="bullet"/>
      <w:lvlText w:val=""/>
      <w:lvlJc w:val="left"/>
      <w:pPr>
        <w:ind w:left="1830" w:hanging="360"/>
      </w:pPr>
      <w:rPr>
        <w:rFonts w:ascii="Wingdings" w:hAnsi="Wingdings" w:hint="default"/>
      </w:rPr>
    </w:lvl>
    <w:lvl w:ilvl="3" w:tplc="300A0001">
      <w:start w:val="1"/>
      <w:numFmt w:val="bullet"/>
      <w:lvlText w:val=""/>
      <w:lvlJc w:val="left"/>
      <w:pPr>
        <w:ind w:left="2550" w:hanging="360"/>
      </w:pPr>
      <w:rPr>
        <w:rFonts w:ascii="Symbol" w:hAnsi="Symbol" w:hint="default"/>
      </w:rPr>
    </w:lvl>
    <w:lvl w:ilvl="4" w:tplc="300A0003">
      <w:start w:val="1"/>
      <w:numFmt w:val="bullet"/>
      <w:lvlText w:val="o"/>
      <w:lvlJc w:val="left"/>
      <w:pPr>
        <w:ind w:left="3270" w:hanging="360"/>
      </w:pPr>
      <w:rPr>
        <w:rFonts w:ascii="Courier New" w:hAnsi="Courier New" w:cs="Courier New" w:hint="default"/>
      </w:rPr>
    </w:lvl>
    <w:lvl w:ilvl="5" w:tplc="300A0005">
      <w:start w:val="1"/>
      <w:numFmt w:val="bullet"/>
      <w:lvlText w:val=""/>
      <w:lvlJc w:val="left"/>
      <w:pPr>
        <w:ind w:left="3990" w:hanging="360"/>
      </w:pPr>
      <w:rPr>
        <w:rFonts w:ascii="Wingdings" w:hAnsi="Wingdings" w:hint="default"/>
      </w:rPr>
    </w:lvl>
    <w:lvl w:ilvl="6" w:tplc="300A0001">
      <w:start w:val="1"/>
      <w:numFmt w:val="bullet"/>
      <w:lvlText w:val=""/>
      <w:lvlJc w:val="left"/>
      <w:pPr>
        <w:ind w:left="4710" w:hanging="360"/>
      </w:pPr>
      <w:rPr>
        <w:rFonts w:ascii="Symbol" w:hAnsi="Symbol" w:hint="default"/>
      </w:rPr>
    </w:lvl>
    <w:lvl w:ilvl="7" w:tplc="300A0003">
      <w:start w:val="1"/>
      <w:numFmt w:val="bullet"/>
      <w:lvlText w:val="o"/>
      <w:lvlJc w:val="left"/>
      <w:pPr>
        <w:ind w:left="5430" w:hanging="360"/>
      </w:pPr>
      <w:rPr>
        <w:rFonts w:ascii="Courier New" w:hAnsi="Courier New" w:cs="Courier New" w:hint="default"/>
      </w:rPr>
    </w:lvl>
    <w:lvl w:ilvl="8" w:tplc="300A0005">
      <w:start w:val="1"/>
      <w:numFmt w:val="bullet"/>
      <w:lvlText w:val=""/>
      <w:lvlJc w:val="left"/>
      <w:pPr>
        <w:ind w:left="6150" w:hanging="360"/>
      </w:pPr>
      <w:rPr>
        <w:rFonts w:ascii="Wingdings" w:hAnsi="Wingdings" w:hint="default"/>
      </w:rPr>
    </w:lvl>
  </w:abstractNum>
  <w:abstractNum w:abstractNumId="12" w15:restartNumberingAfterBreak="0">
    <w:nsid w:val="216857C3"/>
    <w:multiLevelType w:val="hybridMultilevel"/>
    <w:tmpl w:val="35C083D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3" w15:restartNumberingAfterBreak="0">
    <w:nsid w:val="2480694B"/>
    <w:multiLevelType w:val="hybridMultilevel"/>
    <w:tmpl w:val="541AD9A4"/>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B691AF7"/>
    <w:multiLevelType w:val="hybridMultilevel"/>
    <w:tmpl w:val="5658DE1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334776D1"/>
    <w:multiLevelType w:val="hybridMultilevel"/>
    <w:tmpl w:val="B802D0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3770FD7"/>
    <w:multiLevelType w:val="hybridMultilevel"/>
    <w:tmpl w:val="D63C6DF8"/>
    <w:lvl w:ilvl="0" w:tplc="BB94D56E">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3C845D9"/>
    <w:multiLevelType w:val="multilevel"/>
    <w:tmpl w:val="105E671A"/>
    <w:lvl w:ilvl="0">
      <w:numFmt w:val="bullet"/>
      <w:lvlText w:val="-"/>
      <w:lvlJc w:val="left"/>
      <w:pPr>
        <w:tabs>
          <w:tab w:val="num" w:pos="-708"/>
        </w:tabs>
        <w:ind w:left="-708" w:hanging="360"/>
      </w:pPr>
      <w:rPr>
        <w:rFonts w:ascii="Calibri" w:eastAsia="Calibri" w:hAnsi="Calibri" w:cs="Times New Roman" w:hint="default"/>
        <w:sz w:val="20"/>
      </w:rPr>
    </w:lvl>
    <w:lvl w:ilvl="1" w:tentative="1">
      <w:start w:val="1"/>
      <w:numFmt w:val="bullet"/>
      <w:lvlText w:val="o"/>
      <w:lvlJc w:val="left"/>
      <w:pPr>
        <w:tabs>
          <w:tab w:val="num" w:pos="12"/>
        </w:tabs>
        <w:ind w:left="12" w:hanging="360"/>
      </w:pPr>
      <w:rPr>
        <w:rFonts w:ascii="Courier New" w:hAnsi="Courier New" w:hint="default"/>
        <w:sz w:val="20"/>
      </w:rPr>
    </w:lvl>
    <w:lvl w:ilvl="2" w:tentative="1">
      <w:start w:val="1"/>
      <w:numFmt w:val="bullet"/>
      <w:lvlText w:val=""/>
      <w:lvlJc w:val="left"/>
      <w:pPr>
        <w:tabs>
          <w:tab w:val="num" w:pos="732"/>
        </w:tabs>
        <w:ind w:left="732" w:hanging="360"/>
      </w:pPr>
      <w:rPr>
        <w:rFonts w:ascii="Wingdings" w:hAnsi="Wingdings" w:hint="default"/>
        <w:sz w:val="20"/>
      </w:rPr>
    </w:lvl>
    <w:lvl w:ilvl="3" w:tentative="1">
      <w:start w:val="1"/>
      <w:numFmt w:val="bullet"/>
      <w:lvlText w:val=""/>
      <w:lvlJc w:val="left"/>
      <w:pPr>
        <w:tabs>
          <w:tab w:val="num" w:pos="1452"/>
        </w:tabs>
        <w:ind w:left="1452" w:hanging="360"/>
      </w:pPr>
      <w:rPr>
        <w:rFonts w:ascii="Wingdings" w:hAnsi="Wingdings" w:hint="default"/>
        <w:sz w:val="20"/>
      </w:rPr>
    </w:lvl>
    <w:lvl w:ilvl="4" w:tentative="1">
      <w:start w:val="1"/>
      <w:numFmt w:val="bullet"/>
      <w:lvlText w:val=""/>
      <w:lvlJc w:val="left"/>
      <w:pPr>
        <w:tabs>
          <w:tab w:val="num" w:pos="2172"/>
        </w:tabs>
        <w:ind w:left="2172" w:hanging="360"/>
      </w:pPr>
      <w:rPr>
        <w:rFonts w:ascii="Wingdings" w:hAnsi="Wingdings" w:hint="default"/>
        <w:sz w:val="20"/>
      </w:rPr>
    </w:lvl>
    <w:lvl w:ilvl="5" w:tentative="1">
      <w:start w:val="1"/>
      <w:numFmt w:val="bullet"/>
      <w:lvlText w:val=""/>
      <w:lvlJc w:val="left"/>
      <w:pPr>
        <w:tabs>
          <w:tab w:val="num" w:pos="2892"/>
        </w:tabs>
        <w:ind w:left="2892" w:hanging="360"/>
      </w:pPr>
      <w:rPr>
        <w:rFonts w:ascii="Wingdings" w:hAnsi="Wingdings" w:hint="default"/>
        <w:sz w:val="20"/>
      </w:rPr>
    </w:lvl>
    <w:lvl w:ilvl="6" w:tentative="1">
      <w:start w:val="1"/>
      <w:numFmt w:val="bullet"/>
      <w:lvlText w:val=""/>
      <w:lvlJc w:val="left"/>
      <w:pPr>
        <w:tabs>
          <w:tab w:val="num" w:pos="3612"/>
        </w:tabs>
        <w:ind w:left="3612" w:hanging="360"/>
      </w:pPr>
      <w:rPr>
        <w:rFonts w:ascii="Wingdings" w:hAnsi="Wingdings" w:hint="default"/>
        <w:sz w:val="20"/>
      </w:rPr>
    </w:lvl>
    <w:lvl w:ilvl="7" w:tentative="1">
      <w:start w:val="1"/>
      <w:numFmt w:val="bullet"/>
      <w:lvlText w:val=""/>
      <w:lvlJc w:val="left"/>
      <w:pPr>
        <w:tabs>
          <w:tab w:val="num" w:pos="4332"/>
        </w:tabs>
        <w:ind w:left="4332" w:hanging="360"/>
      </w:pPr>
      <w:rPr>
        <w:rFonts w:ascii="Wingdings" w:hAnsi="Wingdings" w:hint="default"/>
        <w:sz w:val="20"/>
      </w:rPr>
    </w:lvl>
    <w:lvl w:ilvl="8" w:tentative="1">
      <w:start w:val="1"/>
      <w:numFmt w:val="bullet"/>
      <w:lvlText w:val=""/>
      <w:lvlJc w:val="left"/>
      <w:pPr>
        <w:tabs>
          <w:tab w:val="num" w:pos="5052"/>
        </w:tabs>
        <w:ind w:left="5052" w:hanging="360"/>
      </w:pPr>
      <w:rPr>
        <w:rFonts w:ascii="Wingdings" w:hAnsi="Wingdings" w:hint="default"/>
        <w:sz w:val="20"/>
      </w:rPr>
    </w:lvl>
  </w:abstractNum>
  <w:abstractNum w:abstractNumId="18" w15:restartNumberingAfterBreak="0">
    <w:nsid w:val="35CE66C8"/>
    <w:multiLevelType w:val="hybridMultilevel"/>
    <w:tmpl w:val="C2B408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66E6AE1"/>
    <w:multiLevelType w:val="hybridMultilevel"/>
    <w:tmpl w:val="005E7736"/>
    <w:lvl w:ilvl="0" w:tplc="CD46B210">
      <w:numFmt w:val="bullet"/>
      <w:lvlText w:val="•"/>
      <w:lvlJc w:val="left"/>
      <w:pPr>
        <w:ind w:left="416" w:hanging="360"/>
      </w:pPr>
      <w:rPr>
        <w:rFonts w:ascii="Arial" w:eastAsia="Arial" w:hAnsi="Arial" w:cs="Aria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20" w15:restartNumberingAfterBreak="0">
    <w:nsid w:val="37836D6E"/>
    <w:multiLevelType w:val="hybridMultilevel"/>
    <w:tmpl w:val="8ECCD496"/>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70" w:hanging="360"/>
      </w:pPr>
      <w:rPr>
        <w:rFonts w:ascii="Courier New" w:hAnsi="Courier New" w:cs="Courier New" w:hint="default"/>
      </w:rPr>
    </w:lvl>
    <w:lvl w:ilvl="2" w:tplc="300A0005" w:tentative="1">
      <w:start w:val="1"/>
      <w:numFmt w:val="bullet"/>
      <w:lvlText w:val=""/>
      <w:lvlJc w:val="left"/>
      <w:pPr>
        <w:ind w:left="2190" w:hanging="360"/>
      </w:pPr>
      <w:rPr>
        <w:rFonts w:ascii="Wingdings" w:hAnsi="Wingdings" w:hint="default"/>
      </w:rPr>
    </w:lvl>
    <w:lvl w:ilvl="3" w:tplc="300A0001" w:tentative="1">
      <w:start w:val="1"/>
      <w:numFmt w:val="bullet"/>
      <w:lvlText w:val=""/>
      <w:lvlJc w:val="left"/>
      <w:pPr>
        <w:ind w:left="2910" w:hanging="360"/>
      </w:pPr>
      <w:rPr>
        <w:rFonts w:ascii="Symbol" w:hAnsi="Symbol" w:hint="default"/>
      </w:rPr>
    </w:lvl>
    <w:lvl w:ilvl="4" w:tplc="300A0003" w:tentative="1">
      <w:start w:val="1"/>
      <w:numFmt w:val="bullet"/>
      <w:lvlText w:val="o"/>
      <w:lvlJc w:val="left"/>
      <w:pPr>
        <w:ind w:left="3630" w:hanging="360"/>
      </w:pPr>
      <w:rPr>
        <w:rFonts w:ascii="Courier New" w:hAnsi="Courier New" w:cs="Courier New" w:hint="default"/>
      </w:rPr>
    </w:lvl>
    <w:lvl w:ilvl="5" w:tplc="300A0005" w:tentative="1">
      <w:start w:val="1"/>
      <w:numFmt w:val="bullet"/>
      <w:lvlText w:val=""/>
      <w:lvlJc w:val="left"/>
      <w:pPr>
        <w:ind w:left="4350" w:hanging="360"/>
      </w:pPr>
      <w:rPr>
        <w:rFonts w:ascii="Wingdings" w:hAnsi="Wingdings" w:hint="default"/>
      </w:rPr>
    </w:lvl>
    <w:lvl w:ilvl="6" w:tplc="300A0001" w:tentative="1">
      <w:start w:val="1"/>
      <w:numFmt w:val="bullet"/>
      <w:lvlText w:val=""/>
      <w:lvlJc w:val="left"/>
      <w:pPr>
        <w:ind w:left="5070" w:hanging="360"/>
      </w:pPr>
      <w:rPr>
        <w:rFonts w:ascii="Symbol" w:hAnsi="Symbol" w:hint="default"/>
      </w:rPr>
    </w:lvl>
    <w:lvl w:ilvl="7" w:tplc="300A0003" w:tentative="1">
      <w:start w:val="1"/>
      <w:numFmt w:val="bullet"/>
      <w:lvlText w:val="o"/>
      <w:lvlJc w:val="left"/>
      <w:pPr>
        <w:ind w:left="5790" w:hanging="360"/>
      </w:pPr>
      <w:rPr>
        <w:rFonts w:ascii="Courier New" w:hAnsi="Courier New" w:cs="Courier New" w:hint="default"/>
      </w:rPr>
    </w:lvl>
    <w:lvl w:ilvl="8" w:tplc="300A0005" w:tentative="1">
      <w:start w:val="1"/>
      <w:numFmt w:val="bullet"/>
      <w:lvlText w:val=""/>
      <w:lvlJc w:val="left"/>
      <w:pPr>
        <w:ind w:left="6510" w:hanging="360"/>
      </w:pPr>
      <w:rPr>
        <w:rFonts w:ascii="Wingdings" w:hAnsi="Wingdings" w:hint="default"/>
      </w:rPr>
    </w:lvl>
  </w:abstractNum>
  <w:abstractNum w:abstractNumId="21" w15:restartNumberingAfterBreak="0">
    <w:nsid w:val="3BE50E3F"/>
    <w:multiLevelType w:val="hybridMultilevel"/>
    <w:tmpl w:val="5712C6B4"/>
    <w:lvl w:ilvl="0" w:tplc="BB94D56E">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 w15:restartNumberingAfterBreak="0">
    <w:nsid w:val="3C52534E"/>
    <w:multiLevelType w:val="hybridMultilevel"/>
    <w:tmpl w:val="154A26C4"/>
    <w:lvl w:ilvl="0" w:tplc="106EAC5E">
      <w:start w:val="1"/>
      <w:numFmt w:val="decimal"/>
      <w:lvlText w:val="%1."/>
      <w:lvlJc w:val="left"/>
      <w:pPr>
        <w:ind w:left="720" w:hanging="360"/>
      </w:pPr>
      <w:rPr>
        <w:rFonts w:ascii="Calibri" w:hAnsi="Calibri"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321131C"/>
    <w:multiLevelType w:val="hybridMultilevel"/>
    <w:tmpl w:val="98CC7504"/>
    <w:lvl w:ilvl="0" w:tplc="CB64659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342044B"/>
    <w:multiLevelType w:val="hybridMultilevel"/>
    <w:tmpl w:val="AED23E7A"/>
    <w:lvl w:ilvl="0" w:tplc="CD46B210">
      <w:numFmt w:val="bullet"/>
      <w:lvlText w:val="•"/>
      <w:lvlJc w:val="left"/>
      <w:pPr>
        <w:ind w:left="444" w:hanging="360"/>
      </w:pPr>
      <w:rPr>
        <w:rFonts w:ascii="Arial" w:eastAsia="Arial" w:hAnsi="Arial" w:cs="Aria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25" w15:restartNumberingAfterBreak="0">
    <w:nsid w:val="47402580"/>
    <w:multiLevelType w:val="hybridMultilevel"/>
    <w:tmpl w:val="917EFE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A0C622D"/>
    <w:multiLevelType w:val="hybridMultilevel"/>
    <w:tmpl w:val="3A6E0ABA"/>
    <w:lvl w:ilvl="0" w:tplc="1270C29C">
      <w:start w:val="1"/>
      <w:numFmt w:val="decimal"/>
      <w:lvlText w:val="%1."/>
      <w:lvlJc w:val="center"/>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7" w15:restartNumberingAfterBreak="0">
    <w:nsid w:val="4BF132AD"/>
    <w:multiLevelType w:val="hybridMultilevel"/>
    <w:tmpl w:val="3FD060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5EA34DD"/>
    <w:multiLevelType w:val="hybridMultilevel"/>
    <w:tmpl w:val="7D58065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9" w15:restartNumberingAfterBreak="0">
    <w:nsid w:val="56250C3C"/>
    <w:multiLevelType w:val="hybridMultilevel"/>
    <w:tmpl w:val="0DC0E6BE"/>
    <w:lvl w:ilvl="0" w:tplc="F13AE4FE">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80336DD"/>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15:restartNumberingAfterBreak="0">
    <w:nsid w:val="5A0B14AB"/>
    <w:multiLevelType w:val="hybridMultilevel"/>
    <w:tmpl w:val="FB78DBAA"/>
    <w:lvl w:ilvl="0" w:tplc="DDA48280">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A802762"/>
    <w:multiLevelType w:val="hybridMultilevel"/>
    <w:tmpl w:val="102013B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3" w15:restartNumberingAfterBreak="0">
    <w:nsid w:val="5BDE11D7"/>
    <w:multiLevelType w:val="hybridMultilevel"/>
    <w:tmpl w:val="6F1AD100"/>
    <w:lvl w:ilvl="0" w:tplc="223A580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4" w15:restartNumberingAfterBreak="0">
    <w:nsid w:val="5C8518EE"/>
    <w:multiLevelType w:val="hybridMultilevel"/>
    <w:tmpl w:val="A5FC6684"/>
    <w:lvl w:ilvl="0" w:tplc="CD46B210">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108" w:hanging="360"/>
      </w:pPr>
      <w:rPr>
        <w:rFonts w:ascii="Courier New" w:hAnsi="Courier New" w:cs="Courier New" w:hint="default"/>
      </w:rPr>
    </w:lvl>
    <w:lvl w:ilvl="2" w:tplc="300A0005" w:tentative="1">
      <w:start w:val="1"/>
      <w:numFmt w:val="bullet"/>
      <w:lvlText w:val=""/>
      <w:lvlJc w:val="left"/>
      <w:pPr>
        <w:ind w:left="1828" w:hanging="360"/>
      </w:pPr>
      <w:rPr>
        <w:rFonts w:ascii="Wingdings" w:hAnsi="Wingdings" w:hint="default"/>
      </w:rPr>
    </w:lvl>
    <w:lvl w:ilvl="3" w:tplc="300A0001" w:tentative="1">
      <w:start w:val="1"/>
      <w:numFmt w:val="bullet"/>
      <w:lvlText w:val=""/>
      <w:lvlJc w:val="left"/>
      <w:pPr>
        <w:ind w:left="2548" w:hanging="360"/>
      </w:pPr>
      <w:rPr>
        <w:rFonts w:ascii="Symbol" w:hAnsi="Symbol" w:hint="default"/>
      </w:rPr>
    </w:lvl>
    <w:lvl w:ilvl="4" w:tplc="300A0003" w:tentative="1">
      <w:start w:val="1"/>
      <w:numFmt w:val="bullet"/>
      <w:lvlText w:val="o"/>
      <w:lvlJc w:val="left"/>
      <w:pPr>
        <w:ind w:left="3268" w:hanging="360"/>
      </w:pPr>
      <w:rPr>
        <w:rFonts w:ascii="Courier New" w:hAnsi="Courier New" w:cs="Courier New" w:hint="default"/>
      </w:rPr>
    </w:lvl>
    <w:lvl w:ilvl="5" w:tplc="300A0005" w:tentative="1">
      <w:start w:val="1"/>
      <w:numFmt w:val="bullet"/>
      <w:lvlText w:val=""/>
      <w:lvlJc w:val="left"/>
      <w:pPr>
        <w:ind w:left="3988" w:hanging="360"/>
      </w:pPr>
      <w:rPr>
        <w:rFonts w:ascii="Wingdings" w:hAnsi="Wingdings" w:hint="default"/>
      </w:rPr>
    </w:lvl>
    <w:lvl w:ilvl="6" w:tplc="300A0001" w:tentative="1">
      <w:start w:val="1"/>
      <w:numFmt w:val="bullet"/>
      <w:lvlText w:val=""/>
      <w:lvlJc w:val="left"/>
      <w:pPr>
        <w:ind w:left="4708" w:hanging="360"/>
      </w:pPr>
      <w:rPr>
        <w:rFonts w:ascii="Symbol" w:hAnsi="Symbol" w:hint="default"/>
      </w:rPr>
    </w:lvl>
    <w:lvl w:ilvl="7" w:tplc="300A0003" w:tentative="1">
      <w:start w:val="1"/>
      <w:numFmt w:val="bullet"/>
      <w:lvlText w:val="o"/>
      <w:lvlJc w:val="left"/>
      <w:pPr>
        <w:ind w:left="5428" w:hanging="360"/>
      </w:pPr>
      <w:rPr>
        <w:rFonts w:ascii="Courier New" w:hAnsi="Courier New" w:cs="Courier New" w:hint="default"/>
      </w:rPr>
    </w:lvl>
    <w:lvl w:ilvl="8" w:tplc="300A0005" w:tentative="1">
      <w:start w:val="1"/>
      <w:numFmt w:val="bullet"/>
      <w:lvlText w:val=""/>
      <w:lvlJc w:val="left"/>
      <w:pPr>
        <w:ind w:left="6148" w:hanging="360"/>
      </w:pPr>
      <w:rPr>
        <w:rFonts w:ascii="Wingdings" w:hAnsi="Wingdings" w:hint="default"/>
      </w:rPr>
    </w:lvl>
  </w:abstractNum>
  <w:abstractNum w:abstractNumId="35" w15:restartNumberingAfterBreak="0">
    <w:nsid w:val="5EAE0424"/>
    <w:multiLevelType w:val="hybridMultilevel"/>
    <w:tmpl w:val="0D00032E"/>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28137F0"/>
    <w:multiLevelType w:val="hybridMultilevel"/>
    <w:tmpl w:val="7438E80A"/>
    <w:lvl w:ilvl="0" w:tplc="86500A3C">
      <w:numFmt w:val="bullet"/>
      <w:lvlText w:val="-"/>
      <w:lvlJc w:val="left"/>
      <w:pPr>
        <w:ind w:left="1440" w:hanging="720"/>
      </w:pPr>
      <w:rPr>
        <w:rFonts w:ascii="Arial" w:eastAsia="Arial"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7" w15:restartNumberingAfterBreak="0">
    <w:nsid w:val="63E22212"/>
    <w:multiLevelType w:val="hybridMultilevel"/>
    <w:tmpl w:val="910E5CFC"/>
    <w:lvl w:ilvl="0" w:tplc="D11E2806">
      <w:start w:val="1"/>
      <w:numFmt w:val="bullet"/>
      <w:lvlText w:val="-"/>
      <w:lvlJc w:val="left"/>
      <w:pPr>
        <w:ind w:left="1080" w:hanging="360"/>
      </w:pPr>
      <w:rPr>
        <w:rFonts w:ascii="Times New Roman" w:hAnsi="Times New Roman" w:cs="Times New Roman" w:hint="default"/>
        <w:b/>
        <w:bCs/>
        <w:color w:val="auto"/>
        <w:w w:val="100"/>
        <w:sz w:val="22"/>
        <w:szCs w:val="22"/>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8" w15:restartNumberingAfterBreak="0">
    <w:nsid w:val="655C3753"/>
    <w:multiLevelType w:val="hybridMultilevel"/>
    <w:tmpl w:val="6B4822A0"/>
    <w:lvl w:ilvl="0" w:tplc="300A0001">
      <w:start w:val="1"/>
      <w:numFmt w:val="bullet"/>
      <w:lvlText w:val=""/>
      <w:lvlJc w:val="left"/>
      <w:pPr>
        <w:ind w:left="748" w:hanging="360"/>
      </w:pPr>
      <w:rPr>
        <w:rFonts w:ascii="Symbol" w:hAnsi="Symbo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39" w15:restartNumberingAfterBreak="0">
    <w:nsid w:val="66034136"/>
    <w:multiLevelType w:val="hybridMultilevel"/>
    <w:tmpl w:val="08A4DB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79D3295"/>
    <w:multiLevelType w:val="hybridMultilevel"/>
    <w:tmpl w:val="5C5E0230"/>
    <w:lvl w:ilvl="0" w:tplc="300A000F">
      <w:start w:val="1"/>
      <w:numFmt w:val="decimal"/>
      <w:lvlText w:val="%1."/>
      <w:lvlJc w:val="left"/>
      <w:pPr>
        <w:ind w:left="847" w:hanging="360"/>
      </w:pPr>
    </w:lvl>
    <w:lvl w:ilvl="1" w:tplc="300A0019" w:tentative="1">
      <w:start w:val="1"/>
      <w:numFmt w:val="lowerLetter"/>
      <w:lvlText w:val="%2."/>
      <w:lvlJc w:val="left"/>
      <w:pPr>
        <w:ind w:left="1567" w:hanging="360"/>
      </w:pPr>
    </w:lvl>
    <w:lvl w:ilvl="2" w:tplc="300A001B" w:tentative="1">
      <w:start w:val="1"/>
      <w:numFmt w:val="lowerRoman"/>
      <w:lvlText w:val="%3."/>
      <w:lvlJc w:val="right"/>
      <w:pPr>
        <w:ind w:left="2287" w:hanging="180"/>
      </w:pPr>
    </w:lvl>
    <w:lvl w:ilvl="3" w:tplc="300A000F" w:tentative="1">
      <w:start w:val="1"/>
      <w:numFmt w:val="decimal"/>
      <w:lvlText w:val="%4."/>
      <w:lvlJc w:val="left"/>
      <w:pPr>
        <w:ind w:left="3007" w:hanging="360"/>
      </w:pPr>
    </w:lvl>
    <w:lvl w:ilvl="4" w:tplc="300A0019" w:tentative="1">
      <w:start w:val="1"/>
      <w:numFmt w:val="lowerLetter"/>
      <w:lvlText w:val="%5."/>
      <w:lvlJc w:val="left"/>
      <w:pPr>
        <w:ind w:left="3727" w:hanging="360"/>
      </w:pPr>
    </w:lvl>
    <w:lvl w:ilvl="5" w:tplc="300A001B" w:tentative="1">
      <w:start w:val="1"/>
      <w:numFmt w:val="lowerRoman"/>
      <w:lvlText w:val="%6."/>
      <w:lvlJc w:val="right"/>
      <w:pPr>
        <w:ind w:left="4447" w:hanging="180"/>
      </w:pPr>
    </w:lvl>
    <w:lvl w:ilvl="6" w:tplc="300A000F" w:tentative="1">
      <w:start w:val="1"/>
      <w:numFmt w:val="decimal"/>
      <w:lvlText w:val="%7."/>
      <w:lvlJc w:val="left"/>
      <w:pPr>
        <w:ind w:left="5167" w:hanging="360"/>
      </w:pPr>
    </w:lvl>
    <w:lvl w:ilvl="7" w:tplc="300A0019" w:tentative="1">
      <w:start w:val="1"/>
      <w:numFmt w:val="lowerLetter"/>
      <w:lvlText w:val="%8."/>
      <w:lvlJc w:val="left"/>
      <w:pPr>
        <w:ind w:left="5887" w:hanging="360"/>
      </w:pPr>
    </w:lvl>
    <w:lvl w:ilvl="8" w:tplc="300A001B" w:tentative="1">
      <w:start w:val="1"/>
      <w:numFmt w:val="lowerRoman"/>
      <w:lvlText w:val="%9."/>
      <w:lvlJc w:val="right"/>
      <w:pPr>
        <w:ind w:left="6607" w:hanging="180"/>
      </w:pPr>
    </w:lvl>
  </w:abstractNum>
  <w:abstractNum w:abstractNumId="41" w15:restartNumberingAfterBreak="0">
    <w:nsid w:val="6F6E0EBA"/>
    <w:multiLevelType w:val="hybridMultilevel"/>
    <w:tmpl w:val="5900A644"/>
    <w:lvl w:ilvl="0" w:tplc="BB94D56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1F9310C"/>
    <w:multiLevelType w:val="hybridMultilevel"/>
    <w:tmpl w:val="CF661B9C"/>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3F55C09"/>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4" w15:restartNumberingAfterBreak="0">
    <w:nsid w:val="757A1AD5"/>
    <w:multiLevelType w:val="hybridMultilevel"/>
    <w:tmpl w:val="CE309A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79D95568"/>
    <w:multiLevelType w:val="hybridMultilevel"/>
    <w:tmpl w:val="6A9434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D1E3268"/>
    <w:multiLevelType w:val="hybridMultilevel"/>
    <w:tmpl w:val="FC3C3F20"/>
    <w:lvl w:ilvl="0" w:tplc="BB94D56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5"/>
  </w:num>
  <w:num w:numId="2">
    <w:abstractNumId w:val="15"/>
  </w:num>
  <w:num w:numId="3">
    <w:abstractNumId w:val="20"/>
  </w:num>
  <w:num w:numId="4">
    <w:abstractNumId w:val="6"/>
  </w:num>
  <w:num w:numId="5">
    <w:abstractNumId w:val="16"/>
  </w:num>
  <w:num w:numId="6">
    <w:abstractNumId w:val="44"/>
  </w:num>
  <w:num w:numId="7">
    <w:abstractNumId w:val="42"/>
  </w:num>
  <w:num w:numId="8">
    <w:abstractNumId w:val="29"/>
  </w:num>
  <w:num w:numId="9">
    <w:abstractNumId w:val="38"/>
  </w:num>
  <w:num w:numId="10">
    <w:abstractNumId w:val="34"/>
  </w:num>
  <w:num w:numId="11">
    <w:abstractNumId w:val="19"/>
  </w:num>
  <w:num w:numId="12">
    <w:abstractNumId w:val="24"/>
  </w:num>
  <w:num w:numId="13">
    <w:abstractNumId w:val="39"/>
  </w:num>
  <w:num w:numId="14">
    <w:abstractNumId w:val="11"/>
  </w:num>
  <w:num w:numId="15">
    <w:abstractNumId w:val="11"/>
  </w:num>
  <w:num w:numId="16">
    <w:abstractNumId w:val="0"/>
  </w:num>
  <w:num w:numId="17">
    <w:abstractNumId w:val="9"/>
  </w:num>
  <w:num w:numId="18">
    <w:abstractNumId w:val="36"/>
  </w:num>
  <w:num w:numId="19">
    <w:abstractNumId w:val="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5"/>
  </w:num>
  <w:num w:numId="33">
    <w:abstractNumId w:val="14"/>
  </w:num>
  <w:num w:numId="34">
    <w:abstractNumId w:val="2"/>
  </w:num>
  <w:num w:numId="35">
    <w:abstractNumId w:val="18"/>
  </w:num>
  <w:num w:numId="36">
    <w:abstractNumId w:val="27"/>
  </w:num>
  <w:num w:numId="37">
    <w:abstractNumId w:val="28"/>
  </w:num>
  <w:num w:numId="38">
    <w:abstractNumId w:val="40"/>
  </w:num>
  <w:num w:numId="39">
    <w:abstractNumId w:val="5"/>
  </w:num>
  <w:num w:numId="40">
    <w:abstractNumId w:val="23"/>
  </w:num>
  <w:num w:numId="41">
    <w:abstractNumId w:val="13"/>
  </w:num>
  <w:num w:numId="42">
    <w:abstractNumId w:val="3"/>
  </w:num>
  <w:num w:numId="43">
    <w:abstractNumId w:val="31"/>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0"/>
  </w:num>
  <w:num w:numId="47">
    <w:abstractNumId w:val="7"/>
  </w:num>
  <w:num w:numId="48">
    <w:abstractNumId w:val="46"/>
  </w:num>
  <w:num w:numId="49">
    <w:abstractNumId w:val="41"/>
  </w:num>
  <w:num w:numId="5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90"/>
    <w:rsid w:val="00016FFF"/>
    <w:rsid w:val="000172DD"/>
    <w:rsid w:val="00017DC5"/>
    <w:rsid w:val="00026E08"/>
    <w:rsid w:val="000308AC"/>
    <w:rsid w:val="00042312"/>
    <w:rsid w:val="00045DB8"/>
    <w:rsid w:val="0005586C"/>
    <w:rsid w:val="00065E0E"/>
    <w:rsid w:val="000F5491"/>
    <w:rsid w:val="001211F1"/>
    <w:rsid w:val="0012765B"/>
    <w:rsid w:val="00130AF8"/>
    <w:rsid w:val="00136E96"/>
    <w:rsid w:val="00136F15"/>
    <w:rsid w:val="00166487"/>
    <w:rsid w:val="00174F9A"/>
    <w:rsid w:val="00180BB5"/>
    <w:rsid w:val="00182583"/>
    <w:rsid w:val="001831CA"/>
    <w:rsid w:val="00187D7A"/>
    <w:rsid w:val="001A75F5"/>
    <w:rsid w:val="001C23EA"/>
    <w:rsid w:val="001D1BD5"/>
    <w:rsid w:val="001E7340"/>
    <w:rsid w:val="001F38EE"/>
    <w:rsid w:val="001F4154"/>
    <w:rsid w:val="00220945"/>
    <w:rsid w:val="00223273"/>
    <w:rsid w:val="0023716A"/>
    <w:rsid w:val="00237ACC"/>
    <w:rsid w:val="00255CBD"/>
    <w:rsid w:val="0025699E"/>
    <w:rsid w:val="00262522"/>
    <w:rsid w:val="00295553"/>
    <w:rsid w:val="002A34B3"/>
    <w:rsid w:val="002B4E3F"/>
    <w:rsid w:val="002C5839"/>
    <w:rsid w:val="002E3216"/>
    <w:rsid w:val="002E7A41"/>
    <w:rsid w:val="002F31B8"/>
    <w:rsid w:val="002F3B3A"/>
    <w:rsid w:val="0030060D"/>
    <w:rsid w:val="00306C7A"/>
    <w:rsid w:val="00323E79"/>
    <w:rsid w:val="00323EF9"/>
    <w:rsid w:val="00334191"/>
    <w:rsid w:val="00334568"/>
    <w:rsid w:val="0033691D"/>
    <w:rsid w:val="003414AE"/>
    <w:rsid w:val="003476FC"/>
    <w:rsid w:val="0035126A"/>
    <w:rsid w:val="00370059"/>
    <w:rsid w:val="00385A8C"/>
    <w:rsid w:val="00391EBC"/>
    <w:rsid w:val="003A28D6"/>
    <w:rsid w:val="003A7359"/>
    <w:rsid w:val="003B332C"/>
    <w:rsid w:val="003B5640"/>
    <w:rsid w:val="003B65A9"/>
    <w:rsid w:val="003C00D4"/>
    <w:rsid w:val="003C2E41"/>
    <w:rsid w:val="003C3757"/>
    <w:rsid w:val="003D4142"/>
    <w:rsid w:val="003E093F"/>
    <w:rsid w:val="003E51FE"/>
    <w:rsid w:val="003E69C8"/>
    <w:rsid w:val="003F6319"/>
    <w:rsid w:val="003F6462"/>
    <w:rsid w:val="004028D7"/>
    <w:rsid w:val="00406BA3"/>
    <w:rsid w:val="00411779"/>
    <w:rsid w:val="0041765D"/>
    <w:rsid w:val="004223D7"/>
    <w:rsid w:val="004373F0"/>
    <w:rsid w:val="004573A1"/>
    <w:rsid w:val="00471EBE"/>
    <w:rsid w:val="004766D0"/>
    <w:rsid w:val="00490418"/>
    <w:rsid w:val="00490541"/>
    <w:rsid w:val="004951EE"/>
    <w:rsid w:val="004A2D9C"/>
    <w:rsid w:val="004A5C01"/>
    <w:rsid w:val="004B45F2"/>
    <w:rsid w:val="004C2D06"/>
    <w:rsid w:val="004D1C37"/>
    <w:rsid w:val="004D5B4F"/>
    <w:rsid w:val="004D6D54"/>
    <w:rsid w:val="004E295B"/>
    <w:rsid w:val="004E43DC"/>
    <w:rsid w:val="004F5363"/>
    <w:rsid w:val="005156ED"/>
    <w:rsid w:val="005259B7"/>
    <w:rsid w:val="005271EA"/>
    <w:rsid w:val="00530D61"/>
    <w:rsid w:val="005434DD"/>
    <w:rsid w:val="00546CBA"/>
    <w:rsid w:val="00555741"/>
    <w:rsid w:val="005667DE"/>
    <w:rsid w:val="00571624"/>
    <w:rsid w:val="00583A6C"/>
    <w:rsid w:val="005868BA"/>
    <w:rsid w:val="005904D8"/>
    <w:rsid w:val="00596783"/>
    <w:rsid w:val="005A2DBC"/>
    <w:rsid w:val="005B5128"/>
    <w:rsid w:val="005C166B"/>
    <w:rsid w:val="005E419C"/>
    <w:rsid w:val="005E54B1"/>
    <w:rsid w:val="00602693"/>
    <w:rsid w:val="006030AD"/>
    <w:rsid w:val="00614459"/>
    <w:rsid w:val="00625307"/>
    <w:rsid w:val="00646C94"/>
    <w:rsid w:val="00653CC6"/>
    <w:rsid w:val="00655EA4"/>
    <w:rsid w:val="00662DFD"/>
    <w:rsid w:val="0067141F"/>
    <w:rsid w:val="00680391"/>
    <w:rsid w:val="006B4FBF"/>
    <w:rsid w:val="006D110C"/>
    <w:rsid w:val="006D1ADE"/>
    <w:rsid w:val="006D6D32"/>
    <w:rsid w:val="006F1EFB"/>
    <w:rsid w:val="006F3F42"/>
    <w:rsid w:val="007077DA"/>
    <w:rsid w:val="00707C4F"/>
    <w:rsid w:val="00707FAC"/>
    <w:rsid w:val="007465F8"/>
    <w:rsid w:val="00754B92"/>
    <w:rsid w:val="0076005E"/>
    <w:rsid w:val="00762C59"/>
    <w:rsid w:val="00762CBA"/>
    <w:rsid w:val="0077582B"/>
    <w:rsid w:val="00781A63"/>
    <w:rsid w:val="007A6F6E"/>
    <w:rsid w:val="007B2D35"/>
    <w:rsid w:val="007C3B4E"/>
    <w:rsid w:val="007D55BE"/>
    <w:rsid w:val="007D7074"/>
    <w:rsid w:val="0082560A"/>
    <w:rsid w:val="00836C68"/>
    <w:rsid w:val="0084376B"/>
    <w:rsid w:val="00862F69"/>
    <w:rsid w:val="00867CDD"/>
    <w:rsid w:val="008728D0"/>
    <w:rsid w:val="008761CD"/>
    <w:rsid w:val="008772AB"/>
    <w:rsid w:val="00887C58"/>
    <w:rsid w:val="00895CA7"/>
    <w:rsid w:val="008A115A"/>
    <w:rsid w:val="008A32F0"/>
    <w:rsid w:val="008A3D29"/>
    <w:rsid w:val="008B0BBC"/>
    <w:rsid w:val="00902A46"/>
    <w:rsid w:val="00917B9E"/>
    <w:rsid w:val="00921E95"/>
    <w:rsid w:val="00926A7F"/>
    <w:rsid w:val="00930E36"/>
    <w:rsid w:val="00931FED"/>
    <w:rsid w:val="00937CEE"/>
    <w:rsid w:val="009422C5"/>
    <w:rsid w:val="0095209A"/>
    <w:rsid w:val="00955752"/>
    <w:rsid w:val="00960A64"/>
    <w:rsid w:val="0097480A"/>
    <w:rsid w:val="00974C8B"/>
    <w:rsid w:val="00977141"/>
    <w:rsid w:val="0099109F"/>
    <w:rsid w:val="009D44EA"/>
    <w:rsid w:val="009E053A"/>
    <w:rsid w:val="009F3C12"/>
    <w:rsid w:val="00A03986"/>
    <w:rsid w:val="00A13EED"/>
    <w:rsid w:val="00A30B88"/>
    <w:rsid w:val="00A34F14"/>
    <w:rsid w:val="00A519CE"/>
    <w:rsid w:val="00A536FC"/>
    <w:rsid w:val="00A57985"/>
    <w:rsid w:val="00A95972"/>
    <w:rsid w:val="00AA0CA8"/>
    <w:rsid w:val="00AA1FE2"/>
    <w:rsid w:val="00AC1684"/>
    <w:rsid w:val="00AD18C1"/>
    <w:rsid w:val="00AE2414"/>
    <w:rsid w:val="00AF443C"/>
    <w:rsid w:val="00B0390C"/>
    <w:rsid w:val="00B1284A"/>
    <w:rsid w:val="00B30879"/>
    <w:rsid w:val="00B60340"/>
    <w:rsid w:val="00B61C51"/>
    <w:rsid w:val="00B64FF8"/>
    <w:rsid w:val="00BA1D1C"/>
    <w:rsid w:val="00BA4E95"/>
    <w:rsid w:val="00BB02B0"/>
    <w:rsid w:val="00BC3843"/>
    <w:rsid w:val="00BC5341"/>
    <w:rsid w:val="00BC53E5"/>
    <w:rsid w:val="00BC614D"/>
    <w:rsid w:val="00BD1082"/>
    <w:rsid w:val="00BD1F73"/>
    <w:rsid w:val="00BD2EBC"/>
    <w:rsid w:val="00BD516D"/>
    <w:rsid w:val="00BD7F3B"/>
    <w:rsid w:val="00BE2C22"/>
    <w:rsid w:val="00BE3EA2"/>
    <w:rsid w:val="00BF6A45"/>
    <w:rsid w:val="00C16CDB"/>
    <w:rsid w:val="00C46490"/>
    <w:rsid w:val="00C473BD"/>
    <w:rsid w:val="00C66400"/>
    <w:rsid w:val="00C72A6F"/>
    <w:rsid w:val="00C74678"/>
    <w:rsid w:val="00C75DA9"/>
    <w:rsid w:val="00C819D6"/>
    <w:rsid w:val="00C85B1B"/>
    <w:rsid w:val="00CA37F8"/>
    <w:rsid w:val="00CA548A"/>
    <w:rsid w:val="00CB3EB9"/>
    <w:rsid w:val="00CC40FE"/>
    <w:rsid w:val="00CD0E7D"/>
    <w:rsid w:val="00D01E1A"/>
    <w:rsid w:val="00D135F8"/>
    <w:rsid w:val="00D24933"/>
    <w:rsid w:val="00D26A4D"/>
    <w:rsid w:val="00D26C98"/>
    <w:rsid w:val="00D27C91"/>
    <w:rsid w:val="00D41435"/>
    <w:rsid w:val="00D445C5"/>
    <w:rsid w:val="00D57B82"/>
    <w:rsid w:val="00D621D3"/>
    <w:rsid w:val="00D63021"/>
    <w:rsid w:val="00D63997"/>
    <w:rsid w:val="00D67719"/>
    <w:rsid w:val="00D70FBA"/>
    <w:rsid w:val="00D7434F"/>
    <w:rsid w:val="00D86A3D"/>
    <w:rsid w:val="00D950B0"/>
    <w:rsid w:val="00DA0D01"/>
    <w:rsid w:val="00DA7E39"/>
    <w:rsid w:val="00DD34C6"/>
    <w:rsid w:val="00DE0C54"/>
    <w:rsid w:val="00DF61E1"/>
    <w:rsid w:val="00E0752C"/>
    <w:rsid w:val="00E160AA"/>
    <w:rsid w:val="00E27958"/>
    <w:rsid w:val="00E3605A"/>
    <w:rsid w:val="00E360C2"/>
    <w:rsid w:val="00E44D29"/>
    <w:rsid w:val="00E568AB"/>
    <w:rsid w:val="00E676F5"/>
    <w:rsid w:val="00EC61AB"/>
    <w:rsid w:val="00ED2431"/>
    <w:rsid w:val="00ED418A"/>
    <w:rsid w:val="00F02213"/>
    <w:rsid w:val="00F110D0"/>
    <w:rsid w:val="00F12066"/>
    <w:rsid w:val="00F20BFF"/>
    <w:rsid w:val="00F23AED"/>
    <w:rsid w:val="00F33E99"/>
    <w:rsid w:val="00F549AB"/>
    <w:rsid w:val="00F630F8"/>
    <w:rsid w:val="00F778B4"/>
    <w:rsid w:val="00F82976"/>
    <w:rsid w:val="00FA0731"/>
    <w:rsid w:val="00FA41D5"/>
    <w:rsid w:val="00FC225C"/>
    <w:rsid w:val="00FD3F52"/>
    <w:rsid w:val="00FD74B8"/>
    <w:rsid w:val="00FE470A"/>
    <w:rsid w:val="00FF59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C66A1"/>
  <w15:docId w15:val="{67DFD3A1-4376-4D71-A1E3-BA80983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30"/>
    </w:pPr>
  </w:style>
  <w:style w:type="paragraph" w:styleId="Encabezado">
    <w:name w:val="header"/>
    <w:basedOn w:val="Normal"/>
    <w:link w:val="EncabezadoCar"/>
    <w:uiPriority w:val="99"/>
    <w:unhideWhenUsed/>
    <w:rsid w:val="005667DE"/>
    <w:pPr>
      <w:tabs>
        <w:tab w:val="center" w:pos="4252"/>
        <w:tab w:val="right" w:pos="8504"/>
      </w:tabs>
    </w:pPr>
  </w:style>
  <w:style w:type="character" w:customStyle="1" w:styleId="EncabezadoCar">
    <w:name w:val="Encabezado Car"/>
    <w:basedOn w:val="Fuentedeprrafopredeter"/>
    <w:link w:val="Encabezado"/>
    <w:uiPriority w:val="99"/>
    <w:rsid w:val="005667DE"/>
    <w:rPr>
      <w:rFonts w:ascii="Arial" w:eastAsia="Arial" w:hAnsi="Arial" w:cs="Arial"/>
      <w:lang w:val="es-ES" w:eastAsia="es-ES" w:bidi="es-ES"/>
    </w:rPr>
  </w:style>
  <w:style w:type="paragraph" w:styleId="Piedepgina">
    <w:name w:val="footer"/>
    <w:basedOn w:val="Normal"/>
    <w:link w:val="PiedepginaCar"/>
    <w:uiPriority w:val="99"/>
    <w:unhideWhenUsed/>
    <w:rsid w:val="005667DE"/>
    <w:pPr>
      <w:tabs>
        <w:tab w:val="center" w:pos="4252"/>
        <w:tab w:val="right" w:pos="8504"/>
      </w:tabs>
    </w:pPr>
  </w:style>
  <w:style w:type="character" w:customStyle="1" w:styleId="PiedepginaCar">
    <w:name w:val="Pie de página Car"/>
    <w:basedOn w:val="Fuentedeprrafopredeter"/>
    <w:link w:val="Piedepgina"/>
    <w:uiPriority w:val="99"/>
    <w:rsid w:val="005667DE"/>
    <w:rPr>
      <w:rFonts w:ascii="Arial" w:eastAsia="Arial" w:hAnsi="Arial" w:cs="Arial"/>
      <w:lang w:val="es-ES" w:eastAsia="es-ES" w:bidi="es-ES"/>
    </w:rPr>
  </w:style>
  <w:style w:type="character" w:styleId="Hipervnculo">
    <w:name w:val="Hyperlink"/>
    <w:basedOn w:val="Fuentedeprrafopredeter"/>
    <w:uiPriority w:val="99"/>
    <w:unhideWhenUsed/>
    <w:rsid w:val="006D1ADE"/>
    <w:rPr>
      <w:color w:val="0000FF"/>
      <w:u w:val="single"/>
    </w:rPr>
  </w:style>
  <w:style w:type="table" w:styleId="Tablaconcuadrcula">
    <w:name w:val="Table Grid"/>
    <w:basedOn w:val="Tablanormal"/>
    <w:uiPriority w:val="39"/>
    <w:rsid w:val="00DE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A2"/>
    <w:pPr>
      <w:widowControl/>
      <w:adjustRightInd w:val="0"/>
    </w:pPr>
    <w:rPr>
      <w:rFonts w:ascii="Arial" w:eastAsia="Calibri" w:hAnsi="Arial" w:cs="Arial"/>
      <w:color w:val="000000"/>
      <w:sz w:val="24"/>
      <w:szCs w:val="24"/>
      <w:lang w:val="es-ES"/>
    </w:rPr>
  </w:style>
  <w:style w:type="character" w:styleId="Mencinsinresolver">
    <w:name w:val="Unresolved Mention"/>
    <w:basedOn w:val="Fuentedeprrafopredeter"/>
    <w:uiPriority w:val="99"/>
    <w:semiHidden/>
    <w:unhideWhenUsed/>
    <w:rsid w:val="004C2D06"/>
    <w:rPr>
      <w:color w:val="605E5C"/>
      <w:shd w:val="clear" w:color="auto" w:fill="E1DFDD"/>
    </w:rPr>
  </w:style>
  <w:style w:type="paragraph" w:styleId="NormalWeb">
    <w:name w:val="Normal (Web)"/>
    <w:basedOn w:val="Normal"/>
    <w:uiPriority w:val="99"/>
    <w:unhideWhenUsed/>
    <w:rsid w:val="00237AC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02">
      <w:bodyDiv w:val="1"/>
      <w:marLeft w:val="0"/>
      <w:marRight w:val="0"/>
      <w:marTop w:val="0"/>
      <w:marBottom w:val="0"/>
      <w:divBdr>
        <w:top w:val="none" w:sz="0" w:space="0" w:color="auto"/>
        <w:left w:val="none" w:sz="0" w:space="0" w:color="auto"/>
        <w:bottom w:val="none" w:sz="0" w:space="0" w:color="auto"/>
        <w:right w:val="none" w:sz="0" w:space="0" w:color="auto"/>
      </w:divBdr>
    </w:div>
    <w:div w:id="45303892">
      <w:bodyDiv w:val="1"/>
      <w:marLeft w:val="0"/>
      <w:marRight w:val="0"/>
      <w:marTop w:val="0"/>
      <w:marBottom w:val="0"/>
      <w:divBdr>
        <w:top w:val="none" w:sz="0" w:space="0" w:color="auto"/>
        <w:left w:val="none" w:sz="0" w:space="0" w:color="auto"/>
        <w:bottom w:val="none" w:sz="0" w:space="0" w:color="auto"/>
        <w:right w:val="none" w:sz="0" w:space="0" w:color="auto"/>
      </w:divBdr>
    </w:div>
    <w:div w:id="409930770">
      <w:bodyDiv w:val="1"/>
      <w:marLeft w:val="0"/>
      <w:marRight w:val="0"/>
      <w:marTop w:val="0"/>
      <w:marBottom w:val="0"/>
      <w:divBdr>
        <w:top w:val="none" w:sz="0" w:space="0" w:color="auto"/>
        <w:left w:val="none" w:sz="0" w:space="0" w:color="auto"/>
        <w:bottom w:val="none" w:sz="0" w:space="0" w:color="auto"/>
        <w:right w:val="none" w:sz="0" w:space="0" w:color="auto"/>
      </w:divBdr>
    </w:div>
    <w:div w:id="450246901">
      <w:bodyDiv w:val="1"/>
      <w:marLeft w:val="0"/>
      <w:marRight w:val="0"/>
      <w:marTop w:val="0"/>
      <w:marBottom w:val="0"/>
      <w:divBdr>
        <w:top w:val="none" w:sz="0" w:space="0" w:color="auto"/>
        <w:left w:val="none" w:sz="0" w:space="0" w:color="auto"/>
        <w:bottom w:val="none" w:sz="0" w:space="0" w:color="auto"/>
        <w:right w:val="none" w:sz="0" w:space="0" w:color="auto"/>
      </w:divBdr>
    </w:div>
    <w:div w:id="452209561">
      <w:bodyDiv w:val="1"/>
      <w:marLeft w:val="0"/>
      <w:marRight w:val="0"/>
      <w:marTop w:val="0"/>
      <w:marBottom w:val="0"/>
      <w:divBdr>
        <w:top w:val="none" w:sz="0" w:space="0" w:color="auto"/>
        <w:left w:val="none" w:sz="0" w:space="0" w:color="auto"/>
        <w:bottom w:val="none" w:sz="0" w:space="0" w:color="auto"/>
        <w:right w:val="none" w:sz="0" w:space="0" w:color="auto"/>
      </w:divBdr>
    </w:div>
    <w:div w:id="505945105">
      <w:bodyDiv w:val="1"/>
      <w:marLeft w:val="0"/>
      <w:marRight w:val="0"/>
      <w:marTop w:val="0"/>
      <w:marBottom w:val="0"/>
      <w:divBdr>
        <w:top w:val="none" w:sz="0" w:space="0" w:color="auto"/>
        <w:left w:val="none" w:sz="0" w:space="0" w:color="auto"/>
        <w:bottom w:val="none" w:sz="0" w:space="0" w:color="auto"/>
        <w:right w:val="none" w:sz="0" w:space="0" w:color="auto"/>
      </w:divBdr>
    </w:div>
    <w:div w:id="572158111">
      <w:bodyDiv w:val="1"/>
      <w:marLeft w:val="0"/>
      <w:marRight w:val="0"/>
      <w:marTop w:val="0"/>
      <w:marBottom w:val="0"/>
      <w:divBdr>
        <w:top w:val="none" w:sz="0" w:space="0" w:color="auto"/>
        <w:left w:val="none" w:sz="0" w:space="0" w:color="auto"/>
        <w:bottom w:val="none" w:sz="0" w:space="0" w:color="auto"/>
        <w:right w:val="none" w:sz="0" w:space="0" w:color="auto"/>
      </w:divBdr>
    </w:div>
    <w:div w:id="581069210">
      <w:bodyDiv w:val="1"/>
      <w:marLeft w:val="0"/>
      <w:marRight w:val="0"/>
      <w:marTop w:val="0"/>
      <w:marBottom w:val="0"/>
      <w:divBdr>
        <w:top w:val="none" w:sz="0" w:space="0" w:color="auto"/>
        <w:left w:val="none" w:sz="0" w:space="0" w:color="auto"/>
        <w:bottom w:val="none" w:sz="0" w:space="0" w:color="auto"/>
        <w:right w:val="none" w:sz="0" w:space="0" w:color="auto"/>
      </w:divBdr>
    </w:div>
    <w:div w:id="694572456">
      <w:bodyDiv w:val="1"/>
      <w:marLeft w:val="0"/>
      <w:marRight w:val="0"/>
      <w:marTop w:val="0"/>
      <w:marBottom w:val="0"/>
      <w:divBdr>
        <w:top w:val="none" w:sz="0" w:space="0" w:color="auto"/>
        <w:left w:val="none" w:sz="0" w:space="0" w:color="auto"/>
        <w:bottom w:val="none" w:sz="0" w:space="0" w:color="auto"/>
        <w:right w:val="none" w:sz="0" w:space="0" w:color="auto"/>
      </w:divBdr>
    </w:div>
    <w:div w:id="793328806">
      <w:bodyDiv w:val="1"/>
      <w:marLeft w:val="0"/>
      <w:marRight w:val="0"/>
      <w:marTop w:val="0"/>
      <w:marBottom w:val="0"/>
      <w:divBdr>
        <w:top w:val="none" w:sz="0" w:space="0" w:color="auto"/>
        <w:left w:val="none" w:sz="0" w:space="0" w:color="auto"/>
        <w:bottom w:val="none" w:sz="0" w:space="0" w:color="auto"/>
        <w:right w:val="none" w:sz="0" w:space="0" w:color="auto"/>
      </w:divBdr>
    </w:div>
    <w:div w:id="872424665">
      <w:bodyDiv w:val="1"/>
      <w:marLeft w:val="0"/>
      <w:marRight w:val="0"/>
      <w:marTop w:val="0"/>
      <w:marBottom w:val="0"/>
      <w:divBdr>
        <w:top w:val="none" w:sz="0" w:space="0" w:color="auto"/>
        <w:left w:val="none" w:sz="0" w:space="0" w:color="auto"/>
        <w:bottom w:val="none" w:sz="0" w:space="0" w:color="auto"/>
        <w:right w:val="none" w:sz="0" w:space="0" w:color="auto"/>
      </w:divBdr>
    </w:div>
    <w:div w:id="880436214">
      <w:bodyDiv w:val="1"/>
      <w:marLeft w:val="0"/>
      <w:marRight w:val="0"/>
      <w:marTop w:val="0"/>
      <w:marBottom w:val="0"/>
      <w:divBdr>
        <w:top w:val="none" w:sz="0" w:space="0" w:color="auto"/>
        <w:left w:val="none" w:sz="0" w:space="0" w:color="auto"/>
        <w:bottom w:val="none" w:sz="0" w:space="0" w:color="auto"/>
        <w:right w:val="none" w:sz="0" w:space="0" w:color="auto"/>
      </w:divBdr>
    </w:div>
    <w:div w:id="887766587">
      <w:bodyDiv w:val="1"/>
      <w:marLeft w:val="0"/>
      <w:marRight w:val="0"/>
      <w:marTop w:val="0"/>
      <w:marBottom w:val="0"/>
      <w:divBdr>
        <w:top w:val="none" w:sz="0" w:space="0" w:color="auto"/>
        <w:left w:val="none" w:sz="0" w:space="0" w:color="auto"/>
        <w:bottom w:val="none" w:sz="0" w:space="0" w:color="auto"/>
        <w:right w:val="none" w:sz="0" w:space="0" w:color="auto"/>
      </w:divBdr>
    </w:div>
    <w:div w:id="900411312">
      <w:bodyDiv w:val="1"/>
      <w:marLeft w:val="0"/>
      <w:marRight w:val="0"/>
      <w:marTop w:val="0"/>
      <w:marBottom w:val="0"/>
      <w:divBdr>
        <w:top w:val="none" w:sz="0" w:space="0" w:color="auto"/>
        <w:left w:val="none" w:sz="0" w:space="0" w:color="auto"/>
        <w:bottom w:val="none" w:sz="0" w:space="0" w:color="auto"/>
        <w:right w:val="none" w:sz="0" w:space="0" w:color="auto"/>
      </w:divBdr>
    </w:div>
    <w:div w:id="986738800">
      <w:bodyDiv w:val="1"/>
      <w:marLeft w:val="0"/>
      <w:marRight w:val="0"/>
      <w:marTop w:val="0"/>
      <w:marBottom w:val="0"/>
      <w:divBdr>
        <w:top w:val="none" w:sz="0" w:space="0" w:color="auto"/>
        <w:left w:val="none" w:sz="0" w:space="0" w:color="auto"/>
        <w:bottom w:val="none" w:sz="0" w:space="0" w:color="auto"/>
        <w:right w:val="none" w:sz="0" w:space="0" w:color="auto"/>
      </w:divBdr>
    </w:div>
    <w:div w:id="1020550801">
      <w:bodyDiv w:val="1"/>
      <w:marLeft w:val="0"/>
      <w:marRight w:val="0"/>
      <w:marTop w:val="0"/>
      <w:marBottom w:val="0"/>
      <w:divBdr>
        <w:top w:val="none" w:sz="0" w:space="0" w:color="auto"/>
        <w:left w:val="none" w:sz="0" w:space="0" w:color="auto"/>
        <w:bottom w:val="none" w:sz="0" w:space="0" w:color="auto"/>
        <w:right w:val="none" w:sz="0" w:space="0" w:color="auto"/>
      </w:divBdr>
    </w:div>
    <w:div w:id="1077090753">
      <w:bodyDiv w:val="1"/>
      <w:marLeft w:val="0"/>
      <w:marRight w:val="0"/>
      <w:marTop w:val="0"/>
      <w:marBottom w:val="0"/>
      <w:divBdr>
        <w:top w:val="none" w:sz="0" w:space="0" w:color="auto"/>
        <w:left w:val="none" w:sz="0" w:space="0" w:color="auto"/>
        <w:bottom w:val="none" w:sz="0" w:space="0" w:color="auto"/>
        <w:right w:val="none" w:sz="0" w:space="0" w:color="auto"/>
      </w:divBdr>
    </w:div>
    <w:div w:id="1113357296">
      <w:bodyDiv w:val="1"/>
      <w:marLeft w:val="0"/>
      <w:marRight w:val="0"/>
      <w:marTop w:val="0"/>
      <w:marBottom w:val="0"/>
      <w:divBdr>
        <w:top w:val="none" w:sz="0" w:space="0" w:color="auto"/>
        <w:left w:val="none" w:sz="0" w:space="0" w:color="auto"/>
        <w:bottom w:val="none" w:sz="0" w:space="0" w:color="auto"/>
        <w:right w:val="none" w:sz="0" w:space="0" w:color="auto"/>
      </w:divBdr>
    </w:div>
    <w:div w:id="1283265960">
      <w:bodyDiv w:val="1"/>
      <w:marLeft w:val="0"/>
      <w:marRight w:val="0"/>
      <w:marTop w:val="0"/>
      <w:marBottom w:val="0"/>
      <w:divBdr>
        <w:top w:val="none" w:sz="0" w:space="0" w:color="auto"/>
        <w:left w:val="none" w:sz="0" w:space="0" w:color="auto"/>
        <w:bottom w:val="none" w:sz="0" w:space="0" w:color="auto"/>
        <w:right w:val="none" w:sz="0" w:space="0" w:color="auto"/>
      </w:divBdr>
    </w:div>
    <w:div w:id="1488740630">
      <w:bodyDiv w:val="1"/>
      <w:marLeft w:val="0"/>
      <w:marRight w:val="0"/>
      <w:marTop w:val="0"/>
      <w:marBottom w:val="0"/>
      <w:divBdr>
        <w:top w:val="none" w:sz="0" w:space="0" w:color="auto"/>
        <w:left w:val="none" w:sz="0" w:space="0" w:color="auto"/>
        <w:bottom w:val="none" w:sz="0" w:space="0" w:color="auto"/>
        <w:right w:val="none" w:sz="0" w:space="0" w:color="auto"/>
      </w:divBdr>
    </w:div>
    <w:div w:id="1565021021">
      <w:bodyDiv w:val="1"/>
      <w:marLeft w:val="0"/>
      <w:marRight w:val="0"/>
      <w:marTop w:val="0"/>
      <w:marBottom w:val="0"/>
      <w:divBdr>
        <w:top w:val="none" w:sz="0" w:space="0" w:color="auto"/>
        <w:left w:val="none" w:sz="0" w:space="0" w:color="auto"/>
        <w:bottom w:val="none" w:sz="0" w:space="0" w:color="auto"/>
        <w:right w:val="none" w:sz="0" w:space="0" w:color="auto"/>
      </w:divBdr>
    </w:div>
    <w:div w:id="1614245870">
      <w:bodyDiv w:val="1"/>
      <w:marLeft w:val="0"/>
      <w:marRight w:val="0"/>
      <w:marTop w:val="0"/>
      <w:marBottom w:val="0"/>
      <w:divBdr>
        <w:top w:val="none" w:sz="0" w:space="0" w:color="auto"/>
        <w:left w:val="none" w:sz="0" w:space="0" w:color="auto"/>
        <w:bottom w:val="none" w:sz="0" w:space="0" w:color="auto"/>
        <w:right w:val="none" w:sz="0" w:space="0" w:color="auto"/>
      </w:divBdr>
    </w:div>
    <w:div w:id="1860269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ear.es/wp-content/uploads/2018/03/1155005I-Rev.-02.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Hen05</b:Tag>
    <b:SourceType>Book</b:SourceType>
    <b:Guid>{2EED9F84-FC58-49C9-B917-2B62EAB62E02}</b:Guid>
    <b:Title>El Laboratorio en el diagnóstico Clínico</b:Title>
    <b:Year>2005</b:Year>
    <b:LCID>es-EC</b:LCID>
    <b:Author>
      <b:Author>
        <b:NameList>
          <b:Person>
            <b:Last>Henry</b:Last>
            <b:First>John</b:First>
            <b:Middle>Bernard</b:Middle>
          </b:Person>
        </b:NameList>
      </b:Author>
    </b:Author>
    <b:City>madrid</b:City>
    <b:Publisher>Marban</b:Publisher>
    <b:RefOrder>1</b:RefOrder>
  </b:Source>
</b:Sources>
</file>

<file path=customXml/itemProps1.xml><?xml version="1.0" encoding="utf-8"?>
<ds:datastoreItem xmlns:ds="http://schemas.openxmlformats.org/officeDocument/2006/customXml" ds:itemID="{96585BD6-D3D7-49C1-B51D-5A71F14D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1155</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Rosa Elisa Cruz Tenempaguay</cp:lastModifiedBy>
  <cp:revision>4</cp:revision>
  <cp:lastPrinted>2022-04-19T14:54:00Z</cp:lastPrinted>
  <dcterms:created xsi:type="dcterms:W3CDTF">2024-10-28T23:45:00Z</dcterms:created>
  <dcterms:modified xsi:type="dcterms:W3CDTF">2025-04-30T15:20:00Z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Microsoft® Excel® 2013</vt:lpwstr>
  </property>
  <property fmtid="{D5CDD505-2E9C-101B-9397-08002B2CF9AE}" pid="4" name="LastSaved">
    <vt:filetime>2019-04-21T00:00:00Z</vt:filetime>
  </property>
  <property fmtid="{D5CDD505-2E9C-101B-9397-08002B2CF9AE}" pid="5" name="Mendeley Document_1">
    <vt:lpwstr>True</vt:lpwstr>
  </property>
  <property fmtid="{D5CDD505-2E9C-101B-9397-08002B2CF9AE}" pid="6" name="Mendeley Unique User Id_1">
    <vt:lpwstr>5fc9fa96-9eb8-373f-94f1-ffd89837a7e9</vt:lpwstr>
  </property>
  <property fmtid="{D5CDD505-2E9C-101B-9397-08002B2CF9AE}" pid="7" name="Mendeley Citation Style_1">
    <vt:lpwstr>http://www.zotero.org/styles/vancouver</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16th edition (author-date)</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(author-date)</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7th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